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w:t>
      </w:r>
      <w:r>
        <w:rPr>
          <w:rFonts w:hint="eastAsia" w:cs="Times New Roman" w:asciiTheme="majorEastAsia" w:hAnsiTheme="majorEastAsia" w:eastAsiaTheme="majorEastAsia"/>
          <w:b/>
          <w:sz w:val="44"/>
          <w:szCs w:val="44"/>
          <w:lang w:eastAsia="zh-CN"/>
        </w:rPr>
        <w:t>食品药品监督管理局2019年</w:t>
      </w:r>
      <w:r>
        <w:rPr>
          <w:rFonts w:cs="Times New Roman" w:asciiTheme="majorEastAsia" w:hAnsiTheme="majorEastAsia" w:eastAsiaTheme="majorEastAsia"/>
          <w:b/>
          <w:sz w:val="44"/>
          <w:szCs w:val="44"/>
        </w:rPr>
        <w:t>部门预算信息公开</w:t>
      </w:r>
    </w:p>
    <w:p>
      <w:pPr>
        <w:ind w:firstLine="883" w:firstLineChars="200"/>
        <w:jc w:val="center"/>
        <w:rPr>
          <w:rFonts w:cs="Times New Roman" w:asciiTheme="majorEastAsia" w:hAnsiTheme="majorEastAsia" w:eastAsiaTheme="majorEastAsia"/>
          <w:b/>
          <w:sz w:val="44"/>
          <w:szCs w:val="44"/>
        </w:rPr>
      </w:pP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食品药品监督管理局2019年</w:t>
      </w:r>
      <w:r>
        <w:rPr>
          <w:rFonts w:ascii="仿宋" w:hAnsi="仿宋" w:eastAsia="仿宋" w:cs="Times New Roman"/>
          <w:sz w:val="32"/>
          <w:szCs w:val="32"/>
        </w:rPr>
        <w:t>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firstLineChars="200"/>
        <w:rPr>
          <w:rFonts w:ascii="仿宋" w:hAnsi="仿宋" w:eastAsia="仿宋" w:cs="Times New Roman"/>
          <w:b/>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一）贯彻执行国家、省、市食品（含食品添加剂、保健食品，下同）、药品（含中药、民族药，下同）、医疗器械、化妆品监督管理的法律法规和方针政策。建立完善地方食品、药品、医疗器械、化妆品监管制度，推动建立落实食品药品安全企业主体责任和地方人民政府负总责的机制，并组织实施和监督检查。</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二）承担全县食品（含酒类）生产、流通、消费环节安全监督管理工作；负责食品行政许可实施办法的监督实施。参与制定食品安全风险监测方案，根据食品安全风险监测方案开展食品安全风险监测。建立完善全县食品安全隐患排查治理机制，制定全县食品安全检查年度计划、重大整顿治理方案并组织落实。</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三）负责药品、医疗器械监督管理。监督实施国家药品、医疗器械标准，监督实施药品和医疗器械研制、生产、经营、使用方面的质量管理规范。建立药品不良反应、医疗器械不良事件和药物滥用监测体系，并开展监测和处置工作，配合实施国家基本药物制度。</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（四）负责化妆品的监督管理和全县化妆品不良反应监测的管理。</w:t>
      </w:r>
      <w:r>
        <w:rPr>
          <w:rFonts w:ascii="仿宋" w:hAnsi="仿宋" w:eastAsia="仿宋" w:cs="仿宋_GB2312"/>
          <w:bCs/>
          <w:sz w:val="32"/>
          <w:szCs w:val="32"/>
        </w:rPr>
        <w:t xml:space="preserve">   </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（五）监督实施中药材生产质量管理规范、中药饮片炮制规范。依法实施中药品种保护制度。</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（六）负责制定食品、药品、医疗器械、化妆品监督管理的稽查制度并组织实施，组织查处重大违法行为。监督实施问题产品召回和处置制度。</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（七）负责食品药品安全事故应急体系建设，组织和指导食品药品安全事故应急处置和调查处理工作，监督事故查处落实情况。</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（八）负责建立食品、药品、医疗器械、化妆品安全信息统一公布制度和重大信息直报制度，公布重大安全信息。负责对食品、药品、医疗器械、化妆品等广告进行检查和监测。</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（九）负责制定全县食品药品安全科技发展规划并组织实施，推动食品药品检验检测体系、电子监管追溯体系和信息化建设。</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（十）负责开展食品药品安全宣传、教育培训、交流合作。推进诚信体系建设。</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（十一）按规定组织实施食品药品等从业人员的培训、健康体检和执业资格准入制度。</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（十二）负责指导和监督全县食品药品监督管理工作，规范行政执法行为，推动完善行政执法与刑事司法衔接机制。</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（十三）承担县政府食品安全委员会日常工作。负责食品安全监督管理综合协调，推动健全协调联动机制。督促检查乡镇人民政府和县有关部门履行食品药品安全监督管理职责，并负责考核评价。</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（十四）承办县政府及县政府食品安全委员会交办的其他事项。</w:t>
      </w:r>
    </w:p>
    <w:p>
      <w:pPr>
        <w:ind w:firstLine="640"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jc w:val="left"/>
        <w:outlineLvl w:val="0"/>
        <w:rPr>
          <w:rFonts w:ascii="仿宋" w:hAnsi="仿宋" w:eastAsia="仿宋" w:cs="Times New Roman"/>
          <w:sz w:val="32"/>
          <w:szCs w:val="24"/>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szCs w:val="24"/>
              </w:rPr>
              <w:t>香河县食品药品监督管理局</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szCs w:val="24"/>
              </w:rPr>
              <w:t>行政</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szCs w:val="24"/>
              </w:rPr>
              <w:t>正科</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r>
        <w:rPr>
          <w:rFonts w:hint="eastAsia" w:ascii="仿宋" w:hAnsi="仿宋" w:eastAsia="仿宋" w:cs="仿宋_GB2312"/>
          <w:sz w:val="32"/>
          <w:szCs w:val="32"/>
          <w:lang w:eastAsia="zh-CN"/>
        </w:rPr>
        <w:t>只包括本单位预算，不包含下属事业单位在汇总预算中。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仿宋" w:hAnsi="仿宋" w:eastAsia="仿宋" w:cs="Times New Roman"/>
          <w:sz w:val="32"/>
          <w:szCs w:val="32"/>
        </w:rPr>
      </w:pPr>
      <w:r>
        <w:rPr>
          <w:rFonts w:ascii="仿宋" w:hAnsi="仿宋" w:eastAsia="仿宋" w:cs="Times New Roman"/>
          <w:sz w:val="32"/>
          <w:szCs w:val="32"/>
        </w:rPr>
        <w:t>反映本部门当年全部收入。</w:t>
      </w:r>
      <w:r>
        <w:rPr>
          <w:rFonts w:hint="eastAsia" w:ascii="仿宋" w:hAnsi="仿宋" w:eastAsia="仿宋" w:cs="Times New Roman"/>
          <w:sz w:val="32"/>
          <w:szCs w:val="32"/>
          <w:lang w:eastAsia="zh-CN"/>
        </w:rPr>
        <w:t>2019年</w:t>
      </w:r>
      <w:r>
        <w:rPr>
          <w:rFonts w:ascii="仿宋" w:hAnsi="仿宋" w:eastAsia="仿宋" w:cs="Times New Roman"/>
          <w:sz w:val="32"/>
          <w:szCs w:val="32"/>
        </w:rPr>
        <w:t>预算收入</w:t>
      </w:r>
      <w:r>
        <w:rPr>
          <w:rFonts w:hint="eastAsia" w:ascii="仿宋" w:hAnsi="仿宋" w:eastAsia="仿宋" w:cs="Times New Roman"/>
          <w:sz w:val="32"/>
          <w:szCs w:val="32"/>
        </w:rPr>
        <w:t>总额</w:t>
      </w:r>
      <w:r>
        <w:rPr>
          <w:rFonts w:hint="eastAsia" w:ascii="仿宋" w:hAnsi="仿宋" w:eastAsia="仿宋" w:cs="Times New Roman"/>
          <w:sz w:val="32"/>
          <w:szCs w:val="32"/>
          <w:lang w:val="en-US" w:eastAsia="zh-CN"/>
        </w:rPr>
        <w:t>1193.9</w:t>
      </w:r>
      <w:r>
        <w:rPr>
          <w:rFonts w:ascii="仿宋" w:hAnsi="仿宋" w:eastAsia="仿宋" w:cs="Times New Roman"/>
          <w:sz w:val="32"/>
          <w:szCs w:val="32"/>
        </w:rPr>
        <w:t>万元，其中：</w:t>
      </w:r>
      <w:r>
        <w:rPr>
          <w:rFonts w:hint="eastAsia" w:ascii="仿宋" w:hAnsi="仿宋" w:eastAsia="仿宋" w:cs="Times New Roman"/>
          <w:sz w:val="32"/>
          <w:szCs w:val="32"/>
        </w:rPr>
        <w:t>财政拨款收入</w:t>
      </w:r>
      <w:r>
        <w:rPr>
          <w:rFonts w:hint="eastAsia" w:ascii="仿宋" w:hAnsi="仿宋" w:eastAsia="仿宋" w:cs="Times New Roman"/>
          <w:sz w:val="32"/>
          <w:szCs w:val="32"/>
          <w:lang w:val="en-US" w:eastAsia="zh-CN"/>
        </w:rPr>
        <w:t>1193.9</w:t>
      </w:r>
      <w:r>
        <w:rPr>
          <w:rFonts w:ascii="仿宋" w:hAnsi="仿宋" w:eastAsia="仿宋" w:cs="Times New Roman"/>
          <w:sz w:val="32"/>
          <w:szCs w:val="32"/>
        </w:rPr>
        <w:t>万元</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1193.9</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、国有资本经营预算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）、上级补助收入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、事业收入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、经营收入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、附属单位上缴收入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、其他收入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食品药品监督管理局</w:t>
      </w:r>
      <w:r>
        <w:rPr>
          <w:rFonts w:ascii="仿宋" w:hAnsi="仿宋" w:eastAsia="仿宋" w:cs="Times New Roman"/>
          <w:sz w:val="32"/>
          <w:szCs w:val="32"/>
        </w:rPr>
        <w:t>年度部门预算中支出预算的总体情况。</w:t>
      </w:r>
      <w:r>
        <w:rPr>
          <w:rFonts w:hint="eastAsia" w:ascii="仿宋" w:hAnsi="仿宋" w:eastAsia="仿宋" w:cs="Times New Roman"/>
          <w:sz w:val="32"/>
          <w:szCs w:val="32"/>
          <w:lang w:eastAsia="zh-CN"/>
        </w:rPr>
        <w:t>2019年</w:t>
      </w:r>
      <w:r>
        <w:rPr>
          <w:rFonts w:ascii="仿宋" w:hAnsi="仿宋" w:eastAsia="仿宋" w:cs="Times New Roman"/>
          <w:sz w:val="32"/>
          <w:szCs w:val="32"/>
        </w:rPr>
        <w:t>支出预算</w:t>
      </w:r>
      <w:r>
        <w:rPr>
          <w:rFonts w:hint="eastAsia" w:ascii="仿宋" w:hAnsi="仿宋" w:eastAsia="仿宋" w:cs="Times New Roman"/>
          <w:sz w:val="32"/>
          <w:szCs w:val="32"/>
          <w:lang w:val="en-US" w:eastAsia="zh-CN"/>
        </w:rPr>
        <w:t>1193.9</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875.06</w:t>
      </w:r>
      <w:r>
        <w:rPr>
          <w:rFonts w:ascii="仿宋" w:hAnsi="仿宋" w:eastAsia="仿宋" w:cs="Times New Roman"/>
          <w:sz w:val="32"/>
          <w:szCs w:val="32"/>
        </w:rPr>
        <w:t>万元，包括人员经费</w:t>
      </w:r>
      <w:r>
        <w:rPr>
          <w:rFonts w:hint="eastAsia" w:ascii="仿宋" w:hAnsi="仿宋" w:eastAsia="仿宋" w:cs="Times New Roman"/>
          <w:sz w:val="32"/>
          <w:szCs w:val="32"/>
          <w:lang w:val="en-US" w:eastAsia="zh-CN"/>
        </w:rPr>
        <w:t>790.69万元</w:t>
      </w:r>
      <w:r>
        <w:rPr>
          <w:rFonts w:ascii="仿宋" w:hAnsi="仿宋" w:eastAsia="仿宋" w:cs="Times New Roman"/>
          <w:sz w:val="32"/>
          <w:szCs w:val="32"/>
        </w:rPr>
        <w:t>和日常公用经费</w:t>
      </w:r>
      <w:r>
        <w:rPr>
          <w:rFonts w:hint="eastAsia" w:ascii="仿宋" w:hAnsi="仿宋" w:eastAsia="仿宋" w:cs="Times New Roman"/>
          <w:sz w:val="32"/>
          <w:szCs w:val="32"/>
          <w:lang w:val="en-US" w:eastAsia="zh-CN"/>
        </w:rPr>
        <w:t>84.37万元</w:t>
      </w:r>
      <w:r>
        <w:rPr>
          <w:rFonts w:ascii="仿宋" w:hAnsi="仿宋" w:eastAsia="仿宋" w:cs="Times New Roman"/>
          <w:sz w:val="32"/>
          <w:szCs w:val="32"/>
        </w:rPr>
        <w:t>；项目支出</w:t>
      </w:r>
      <w:r>
        <w:rPr>
          <w:rFonts w:hint="eastAsia" w:ascii="仿宋" w:hAnsi="仿宋" w:eastAsia="仿宋" w:cs="Times New Roman"/>
          <w:sz w:val="32"/>
          <w:szCs w:val="32"/>
          <w:lang w:val="en-US" w:eastAsia="zh-CN"/>
        </w:rPr>
        <w:t>318.84</w:t>
      </w:r>
      <w:r>
        <w:rPr>
          <w:rFonts w:ascii="仿宋" w:hAnsi="仿宋" w:eastAsia="仿宋" w:cs="Times New Roman"/>
          <w:sz w:val="32"/>
          <w:szCs w:val="32"/>
        </w:rPr>
        <w:t>万元，包括本级支出</w:t>
      </w:r>
      <w:r>
        <w:rPr>
          <w:rFonts w:hint="eastAsia" w:ascii="仿宋" w:hAnsi="仿宋" w:eastAsia="仿宋" w:cs="Times New Roman"/>
          <w:sz w:val="32"/>
          <w:szCs w:val="32"/>
          <w:lang w:val="en-US" w:eastAsia="zh-CN"/>
        </w:rPr>
        <w:t>318.84</w:t>
      </w:r>
      <w:r>
        <w:rPr>
          <w:rFonts w:ascii="仿宋" w:hAnsi="仿宋" w:eastAsia="仿宋" w:cs="Times New Roman"/>
          <w:sz w:val="32"/>
          <w:szCs w:val="32"/>
        </w:rPr>
        <w:t>万元和对下</w:t>
      </w:r>
      <w:r>
        <w:rPr>
          <w:rFonts w:hint="eastAsia" w:ascii="仿宋" w:hAnsi="仿宋" w:eastAsia="仿宋" w:cs="Times New Roman"/>
          <w:sz w:val="32"/>
          <w:szCs w:val="32"/>
          <w:lang w:eastAsia="zh-CN"/>
        </w:rPr>
        <w:t>补</w:t>
      </w:r>
      <w:r>
        <w:rPr>
          <w:rFonts w:ascii="仿宋" w:hAnsi="仿宋" w:eastAsia="仿宋" w:cs="Times New Roman"/>
          <w:sz w:val="32"/>
          <w:szCs w:val="32"/>
        </w:rPr>
        <w:t>助支出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万元，主要为</w:t>
      </w:r>
      <w:r>
        <w:rPr>
          <w:rFonts w:hint="eastAsia" w:ascii="仿宋" w:hAnsi="仿宋" w:eastAsia="仿宋" w:cs="仿宋_GB2312"/>
          <w:sz w:val="32"/>
          <w:szCs w:val="32"/>
        </w:rPr>
        <w:t>食品</w:t>
      </w:r>
      <w:r>
        <w:rPr>
          <w:rFonts w:hint="eastAsia" w:ascii="仿宋" w:hAnsi="仿宋" w:eastAsia="仿宋" w:cs="仿宋_GB2312"/>
          <w:sz w:val="32"/>
          <w:szCs w:val="32"/>
          <w:lang w:eastAsia="zh-CN"/>
        </w:rPr>
        <w:t>快检经</w:t>
      </w:r>
      <w:r>
        <w:rPr>
          <w:rFonts w:hint="eastAsia" w:ascii="仿宋" w:hAnsi="仿宋" w:eastAsia="仿宋" w:cs="仿宋_GB2312"/>
          <w:sz w:val="32"/>
          <w:szCs w:val="32"/>
        </w:rPr>
        <w:t>费、食品安全综合监管经费、食品抽验经费、食安办办公经费、药品抽验评价费、药品不良反应监测经费、农村药品“两网”建设经费、</w:t>
      </w:r>
      <w:r>
        <w:rPr>
          <w:rFonts w:ascii="仿宋" w:hAnsi="仿宋" w:eastAsia="仿宋" w:cs="仿宋_GB2312"/>
          <w:sz w:val="32"/>
          <w:szCs w:val="32"/>
        </w:rPr>
        <w:t>GSP</w:t>
      </w:r>
      <w:r>
        <w:rPr>
          <w:rFonts w:hint="eastAsia" w:ascii="仿宋" w:hAnsi="仿宋" w:eastAsia="仿宋" w:cs="仿宋_GB2312"/>
          <w:sz w:val="32"/>
          <w:szCs w:val="32"/>
        </w:rPr>
        <w:t>认证经费、村食品药品安全协管员专项补贴</w:t>
      </w:r>
      <w:r>
        <w:rPr>
          <w:rFonts w:hint="eastAsia" w:ascii="仿宋" w:hAnsi="仿宋" w:eastAsia="仿宋" w:cs="仿宋_GB2312"/>
          <w:sz w:val="32"/>
          <w:szCs w:val="32"/>
          <w:lang w:eastAsia="zh-CN"/>
        </w:rPr>
        <w:t>、</w:t>
      </w:r>
      <w:r>
        <w:rPr>
          <w:rFonts w:hint="eastAsia" w:ascii="仿宋" w:hAnsi="仿宋" w:eastAsia="仿宋" w:cs="仿宋_GB2312"/>
          <w:sz w:val="32"/>
          <w:szCs w:val="32"/>
        </w:rPr>
        <w:t>执法着装经费等</w:t>
      </w:r>
      <w:r>
        <w:rPr>
          <w:rFonts w:ascii="仿宋" w:hAnsi="仿宋" w:eastAsia="仿宋" w:cs="Times New Roman"/>
          <w:sz w:val="32"/>
          <w:szCs w:val="32"/>
        </w:rPr>
        <w:t>；上缴上级支出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p>
    <w:p>
      <w:pPr>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ind w:firstLine="640"/>
        <w:rPr>
          <w:rFonts w:ascii="仿宋" w:hAnsi="仿宋" w:eastAsia="仿宋" w:cs="Times New Roman"/>
          <w:sz w:val="32"/>
          <w:szCs w:val="32"/>
        </w:rPr>
      </w:pPr>
      <w:r>
        <w:rPr>
          <w:rFonts w:hint="eastAsia" w:ascii="仿宋" w:hAnsi="仿宋" w:eastAsia="仿宋" w:cs="Times New Roman"/>
          <w:sz w:val="32"/>
          <w:szCs w:val="32"/>
          <w:lang w:eastAsia="zh-CN"/>
        </w:rPr>
        <w:t>2019年</w:t>
      </w:r>
      <w:r>
        <w:rPr>
          <w:rFonts w:ascii="仿宋" w:hAnsi="仿宋" w:eastAsia="仿宋" w:cs="Times New Roman"/>
          <w:sz w:val="32"/>
          <w:szCs w:val="32"/>
        </w:rPr>
        <w:t>预算收支安排</w:t>
      </w:r>
      <w:r>
        <w:rPr>
          <w:rFonts w:hint="eastAsia" w:ascii="仿宋" w:hAnsi="仿宋" w:eastAsia="仿宋" w:cs="Times New Roman"/>
          <w:sz w:val="32"/>
          <w:szCs w:val="32"/>
          <w:lang w:val="en-US" w:eastAsia="zh-CN"/>
        </w:rPr>
        <w:t>1193.9</w:t>
      </w:r>
      <w:r>
        <w:rPr>
          <w:rFonts w:ascii="仿宋" w:hAnsi="仿宋" w:eastAsia="仿宋" w:cs="Times New Roman"/>
          <w:sz w:val="32"/>
          <w:szCs w:val="32"/>
        </w:rPr>
        <w:t>万元，较201</w:t>
      </w:r>
      <w:r>
        <w:rPr>
          <w:rFonts w:hint="eastAsia" w:ascii="仿宋" w:hAnsi="仿宋" w:eastAsia="仿宋" w:cs="Times New Roman"/>
          <w:sz w:val="32"/>
          <w:szCs w:val="32"/>
          <w:lang w:val="en-US" w:eastAsia="zh-CN"/>
        </w:rPr>
        <w:t>8</w:t>
      </w:r>
      <w:r>
        <w:rPr>
          <w:rFonts w:ascii="仿宋" w:hAnsi="仿宋" w:eastAsia="仿宋" w:cs="Times New Roman"/>
          <w:sz w:val="32"/>
          <w:szCs w:val="32"/>
        </w:rPr>
        <w:t>年预算</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42.65</w:t>
      </w:r>
      <w:r>
        <w:rPr>
          <w:rFonts w:ascii="仿宋" w:hAnsi="仿宋" w:eastAsia="仿宋" w:cs="Times New Roman"/>
          <w:sz w:val="32"/>
          <w:szCs w:val="32"/>
        </w:rPr>
        <w:t>万元，其中：基本支出</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71.01</w:t>
      </w:r>
      <w:r>
        <w:rPr>
          <w:rFonts w:ascii="仿宋" w:hAnsi="仿宋" w:eastAsia="仿宋" w:cs="Times New Roman"/>
          <w:sz w:val="32"/>
          <w:szCs w:val="32"/>
        </w:rPr>
        <w:t>万元，主要为</w:t>
      </w:r>
      <w:r>
        <w:rPr>
          <w:rFonts w:hint="eastAsia" w:ascii="仿宋" w:hAnsi="仿宋" w:eastAsia="仿宋" w:cs="仿宋_GB2312"/>
          <w:sz w:val="32"/>
          <w:szCs w:val="32"/>
        </w:rPr>
        <w:t>增加人员经费支出</w:t>
      </w:r>
      <w:r>
        <w:rPr>
          <w:rFonts w:ascii="仿宋" w:hAnsi="仿宋" w:eastAsia="仿宋" w:cs="Times New Roman"/>
          <w:sz w:val="32"/>
          <w:szCs w:val="32"/>
        </w:rPr>
        <w:t>；项目支出</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28.36</w:t>
      </w:r>
      <w:r>
        <w:rPr>
          <w:rFonts w:ascii="仿宋" w:hAnsi="仿宋" w:eastAsia="仿宋" w:cs="Times New Roman"/>
          <w:sz w:val="32"/>
          <w:szCs w:val="32"/>
        </w:rPr>
        <w:t>万元，主要为</w:t>
      </w:r>
      <w:r>
        <w:rPr>
          <w:rFonts w:hint="eastAsia" w:ascii="仿宋" w:hAnsi="仿宋" w:eastAsia="仿宋" w:cs="仿宋_GB2312"/>
          <w:sz w:val="32"/>
          <w:szCs w:val="32"/>
          <w:lang w:eastAsia="zh-CN"/>
        </w:rPr>
        <w:t>政府援助性就业</w:t>
      </w:r>
      <w:r>
        <w:rPr>
          <w:rFonts w:ascii="仿宋" w:hAnsi="仿宋" w:eastAsia="仿宋" w:cs="Times New Roman"/>
          <w:sz w:val="32"/>
          <w:szCs w:val="32"/>
        </w:rPr>
        <w:t>支出。</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color w:val="FF0000"/>
          <w:sz w:val="32"/>
          <w:szCs w:val="32"/>
        </w:rPr>
      </w:pPr>
      <w:r>
        <w:rPr>
          <w:rFonts w:hint="eastAsia" w:ascii="仿宋" w:hAnsi="仿宋" w:eastAsia="仿宋" w:cs="Times New Roman"/>
          <w:sz w:val="32"/>
          <w:szCs w:val="32"/>
          <w:lang w:eastAsia="zh-CN"/>
        </w:rPr>
        <w:t>2019年</w:t>
      </w:r>
      <w:r>
        <w:rPr>
          <w:rFonts w:ascii="仿宋" w:hAnsi="仿宋" w:eastAsia="仿宋" w:cs="Times New Roman"/>
          <w:sz w:val="32"/>
          <w:szCs w:val="32"/>
        </w:rPr>
        <w:t>机关</w:t>
      </w:r>
      <w:r>
        <w:rPr>
          <w:rFonts w:hint="eastAsia" w:ascii="仿宋" w:hAnsi="仿宋" w:eastAsia="仿宋" w:cs="Times New Roman"/>
          <w:sz w:val="32"/>
          <w:szCs w:val="32"/>
        </w:rPr>
        <w:t>运行经费共计安排</w:t>
      </w:r>
      <w:r>
        <w:rPr>
          <w:rFonts w:hint="eastAsia" w:ascii="仿宋" w:hAnsi="仿宋" w:eastAsia="仿宋" w:cs="Times New Roman"/>
          <w:sz w:val="32"/>
          <w:szCs w:val="32"/>
          <w:lang w:val="en-US" w:eastAsia="zh-CN"/>
        </w:rPr>
        <w:t>84.37</w:t>
      </w:r>
      <w:r>
        <w:rPr>
          <w:rFonts w:hint="eastAsia" w:ascii="仿宋" w:hAnsi="仿宋" w:eastAsia="仿宋" w:cs="Times New Roman"/>
          <w:sz w:val="32"/>
          <w:szCs w:val="32"/>
        </w:rPr>
        <w:t>万元</w:t>
      </w:r>
      <w:r>
        <w:rPr>
          <w:rFonts w:ascii="仿宋" w:hAnsi="仿宋" w:eastAsia="仿宋" w:cs="Times New Roman"/>
          <w:sz w:val="32"/>
          <w:szCs w:val="32"/>
        </w:rPr>
        <w:t>，主要用于办公区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rPr>
          <w:rFonts w:hint="eastAsia" w:ascii="仿宋" w:hAnsi="仿宋" w:eastAsia="仿宋" w:cs="Times New Roman"/>
          <w:color w:val="000000" w:themeColor="text1"/>
          <w:sz w:val="32"/>
          <w:szCs w:val="32"/>
        </w:rPr>
      </w:pPr>
      <w:r>
        <w:rPr>
          <w:rFonts w:hint="eastAsia" w:ascii="仿宋" w:hAnsi="仿宋" w:eastAsia="仿宋" w:cs="Times New Roman"/>
          <w:sz w:val="32"/>
          <w:szCs w:val="32"/>
          <w:lang w:eastAsia="zh-CN"/>
        </w:rPr>
        <w:t>2019年</w:t>
      </w:r>
      <w:r>
        <w:rPr>
          <w:rFonts w:ascii="仿宋" w:hAnsi="仿宋" w:eastAsia="仿宋" w:cs="Times New Roman"/>
          <w:sz w:val="32"/>
          <w:szCs w:val="32"/>
        </w:rPr>
        <w:t>，</w:t>
      </w:r>
      <w:r>
        <w:rPr>
          <w:rFonts w:hint="eastAsia" w:ascii="仿宋" w:hAnsi="仿宋" w:eastAsia="仿宋" w:cs="Times New Roman"/>
          <w:sz w:val="32"/>
          <w:szCs w:val="32"/>
        </w:rPr>
        <w:t>本部门</w:t>
      </w:r>
      <w:r>
        <w:rPr>
          <w:rFonts w:ascii="仿宋" w:hAnsi="仿宋" w:eastAsia="仿宋" w:cs="Times New Roman"/>
          <w:sz w:val="32"/>
          <w:szCs w:val="32"/>
        </w:rPr>
        <w:t>“三公”经费预算安排</w:t>
      </w:r>
      <w:r>
        <w:rPr>
          <w:rFonts w:hint="eastAsia" w:ascii="仿宋" w:hAnsi="仿宋" w:eastAsia="仿宋" w:cs="Times New Roman"/>
          <w:sz w:val="32"/>
          <w:szCs w:val="32"/>
          <w:lang w:val="en-US" w:eastAsia="zh-CN"/>
        </w:rPr>
        <w:t>1.9</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1.9</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、国有资本经营预算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和财政专户核拨资金</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ascii="仿宋" w:hAnsi="仿宋" w:eastAsia="仿宋" w:cs="Times New Roman"/>
          <w:sz w:val="32"/>
          <w:szCs w:val="32"/>
        </w:rPr>
        <w:t>，其中因公出国（境）费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w:t>
      </w:r>
      <w:r>
        <w:rPr>
          <w:rFonts w:hint="eastAsia" w:ascii="仿宋" w:hAnsi="仿宋" w:eastAsia="仿宋" w:cs="Times New Roman"/>
          <w:sz w:val="32"/>
          <w:szCs w:val="32"/>
          <w:lang w:val="en-US" w:eastAsia="zh-CN"/>
        </w:rPr>
        <w:t>8</w:t>
      </w:r>
      <w:r>
        <w:rPr>
          <w:rFonts w:ascii="仿宋" w:hAnsi="仿宋" w:eastAsia="仿宋" w:cs="Times New Roman"/>
          <w:sz w:val="32"/>
          <w:szCs w:val="32"/>
        </w:rPr>
        <w:t>年</w:t>
      </w:r>
      <w:r>
        <w:rPr>
          <w:rFonts w:hint="eastAsia" w:ascii="仿宋" w:hAnsi="仿宋" w:eastAsia="仿宋" w:cs="Times New Roman"/>
          <w:sz w:val="32"/>
          <w:szCs w:val="32"/>
          <w:lang w:eastAsia="zh-CN"/>
        </w:rPr>
        <w:t>持平，无增减变动</w:t>
      </w:r>
      <w:r>
        <w:rPr>
          <w:rFonts w:ascii="仿宋" w:hAnsi="仿宋" w:eastAsia="仿宋" w:cs="Times New Roman"/>
          <w:sz w:val="32"/>
          <w:szCs w:val="32"/>
        </w:rPr>
        <w:t>；公务用车购置及运维费</w:t>
      </w:r>
      <w:r>
        <w:rPr>
          <w:rFonts w:hint="eastAsia" w:ascii="仿宋" w:hAnsi="仿宋" w:eastAsia="仿宋" w:cs="Times New Roman"/>
          <w:sz w:val="32"/>
          <w:szCs w:val="32"/>
          <w:lang w:val="en-US" w:eastAsia="zh-CN"/>
        </w:rPr>
        <w:t>1.9</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0万元</w:t>
      </w:r>
      <w:r>
        <w:rPr>
          <w:rFonts w:ascii="仿宋" w:hAnsi="仿宋" w:eastAsia="仿宋" w:cs="Times New Roman"/>
          <w:sz w:val="32"/>
          <w:szCs w:val="32"/>
        </w:rPr>
        <w:t>，公务用车运行费</w:t>
      </w:r>
      <w:r>
        <w:rPr>
          <w:rFonts w:hint="eastAsia" w:ascii="仿宋" w:hAnsi="仿宋" w:eastAsia="仿宋" w:cs="Times New Roman"/>
          <w:sz w:val="32"/>
          <w:szCs w:val="32"/>
          <w:lang w:val="en-US" w:eastAsia="zh-CN"/>
        </w:rPr>
        <w:t>1.9</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w:t>
      </w:r>
      <w:r>
        <w:rPr>
          <w:rFonts w:hint="eastAsia" w:ascii="仿宋" w:hAnsi="仿宋" w:eastAsia="仿宋" w:cs="Times New Roman"/>
          <w:sz w:val="32"/>
          <w:szCs w:val="32"/>
          <w:lang w:val="en-US" w:eastAsia="zh-CN"/>
        </w:rPr>
        <w:t>8</w:t>
      </w:r>
      <w:r>
        <w:rPr>
          <w:rFonts w:ascii="仿宋" w:hAnsi="仿宋" w:eastAsia="仿宋" w:cs="Times New Roman"/>
          <w:sz w:val="32"/>
          <w:szCs w:val="32"/>
        </w:rPr>
        <w:t>年</w:t>
      </w:r>
      <w:r>
        <w:rPr>
          <w:rFonts w:hint="eastAsia" w:ascii="仿宋" w:hAnsi="仿宋" w:eastAsia="仿宋" w:cs="Times New Roman"/>
          <w:sz w:val="32"/>
          <w:szCs w:val="32"/>
          <w:lang w:eastAsia="zh-CN"/>
        </w:rPr>
        <w:t>相比减少</w:t>
      </w:r>
      <w:r>
        <w:rPr>
          <w:rFonts w:hint="eastAsia" w:ascii="仿宋" w:hAnsi="仿宋" w:eastAsia="仿宋" w:cs="Times New Roman"/>
          <w:sz w:val="32"/>
          <w:szCs w:val="32"/>
          <w:lang w:val="en-US" w:eastAsia="zh-CN"/>
        </w:rPr>
        <w:t>3.5</w:t>
      </w:r>
      <w:r>
        <w:rPr>
          <w:rFonts w:hint="eastAsia" w:ascii="仿宋" w:hAnsi="仿宋" w:eastAsia="仿宋" w:cs="Times New Roman"/>
          <w:sz w:val="32"/>
          <w:szCs w:val="32"/>
        </w:rPr>
        <w:t>万元，主要原因是</w:t>
      </w:r>
      <w:r>
        <w:rPr>
          <w:rFonts w:hint="eastAsia" w:ascii="仿宋" w:hAnsi="仿宋" w:eastAsia="仿宋" w:cs="Times New Roman"/>
          <w:color w:val="000000" w:themeColor="text1"/>
          <w:sz w:val="32"/>
          <w:szCs w:val="32"/>
        </w:rPr>
        <w:t>由于</w:t>
      </w:r>
      <w:r>
        <w:rPr>
          <w:rFonts w:hint="eastAsia" w:ascii="仿宋" w:hAnsi="仿宋" w:eastAsia="仿宋" w:cs="Times New Roman"/>
          <w:color w:val="000000" w:themeColor="text1"/>
          <w:sz w:val="32"/>
          <w:szCs w:val="32"/>
          <w:lang w:eastAsia="zh-CN"/>
        </w:rPr>
        <w:t>厉行节约，</w:t>
      </w:r>
      <w:r>
        <w:rPr>
          <w:rFonts w:hint="eastAsia" w:ascii="仿宋" w:hAnsi="仿宋" w:eastAsia="仿宋" w:cs="Times New Roman"/>
          <w:color w:val="000000" w:themeColor="text1"/>
          <w:sz w:val="32"/>
          <w:szCs w:val="32"/>
        </w:rPr>
        <w:t>减少</w:t>
      </w:r>
      <w:r>
        <w:rPr>
          <w:rFonts w:ascii="仿宋" w:hAnsi="仿宋" w:eastAsia="仿宋" w:cs="Times New Roman"/>
          <w:color w:val="000000" w:themeColor="text1"/>
          <w:sz w:val="32"/>
          <w:szCs w:val="32"/>
        </w:rPr>
        <w:t>公务用车运行费</w:t>
      </w:r>
      <w:r>
        <w:rPr>
          <w:rFonts w:ascii="仿宋" w:hAnsi="仿宋" w:eastAsia="仿宋" w:cs="Times New Roman"/>
          <w:sz w:val="32"/>
          <w:szCs w:val="32"/>
        </w:rPr>
        <w:t>；公务接待费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hint="eastAsia" w:ascii="仿宋" w:hAnsi="仿宋" w:eastAsia="仿宋" w:cs="Times New Roman"/>
          <w:sz w:val="32"/>
          <w:szCs w:val="32"/>
          <w:lang w:eastAsia="zh-CN"/>
        </w:rPr>
        <w:t>相比减少</w:t>
      </w:r>
      <w:r>
        <w:rPr>
          <w:rFonts w:hint="eastAsia" w:ascii="仿宋" w:hAnsi="仿宋" w:eastAsia="仿宋" w:cs="Times New Roman"/>
          <w:sz w:val="32"/>
          <w:szCs w:val="32"/>
          <w:lang w:val="en-US" w:eastAsia="zh-CN"/>
        </w:rPr>
        <w:t>3.8</w:t>
      </w:r>
      <w:r>
        <w:rPr>
          <w:rFonts w:hint="eastAsia" w:ascii="仿宋" w:hAnsi="仿宋" w:eastAsia="仿宋" w:cs="Times New Roman"/>
          <w:sz w:val="32"/>
          <w:szCs w:val="32"/>
        </w:rPr>
        <w:t>万元，主要原因是</w:t>
      </w:r>
      <w:r>
        <w:rPr>
          <w:rFonts w:hint="eastAsia" w:ascii="仿宋" w:hAnsi="仿宋" w:eastAsia="仿宋" w:cs="Times New Roman"/>
          <w:sz w:val="32"/>
          <w:szCs w:val="32"/>
          <w:lang w:eastAsia="zh-CN"/>
        </w:rPr>
        <w:t>根据上级文件精神，</w:t>
      </w:r>
      <w:r>
        <w:rPr>
          <w:rFonts w:hint="eastAsia" w:ascii="仿宋" w:hAnsi="仿宋" w:eastAsia="仿宋" w:cs="Times New Roman"/>
          <w:color w:val="000000" w:themeColor="text1"/>
          <w:sz w:val="32"/>
          <w:szCs w:val="32"/>
        </w:rPr>
        <w:t>由于厉行节约，相应减少</w:t>
      </w:r>
      <w:r>
        <w:rPr>
          <w:rFonts w:ascii="仿宋" w:hAnsi="仿宋" w:eastAsia="仿宋" w:cs="Times New Roman"/>
          <w:color w:val="000000" w:themeColor="text1"/>
          <w:sz w:val="32"/>
          <w:szCs w:val="32"/>
        </w:rPr>
        <w:t>公务接待费</w:t>
      </w:r>
      <w:r>
        <w:rPr>
          <w:rFonts w:hint="eastAsia" w:ascii="仿宋" w:hAnsi="仿宋" w:eastAsia="仿宋" w:cs="Times New Roman"/>
          <w:color w:val="000000" w:themeColor="text1"/>
          <w:sz w:val="32"/>
          <w:szCs w:val="32"/>
          <w:lang w:eastAsia="zh-CN"/>
        </w:rPr>
        <w:t>。</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cs="Times New Roman" w:asciiTheme="minorEastAsia" w:hAnsiTheme="minorEastAsia"/>
          <w:b/>
          <w:sz w:val="32"/>
          <w:szCs w:val="32"/>
        </w:rPr>
      </w:pPr>
      <w:bookmarkStart w:id="0" w:name="_Toc471398463"/>
      <w:r>
        <w:rPr>
          <w:rFonts w:cs="Times New Roman" w:asciiTheme="minorEastAsia" w:hAnsiTheme="minorEastAsia"/>
          <w:b/>
          <w:sz w:val="32"/>
          <w:szCs w:val="32"/>
        </w:rPr>
        <w:t>总体绩效目标：</w:t>
      </w:r>
    </w:p>
    <w:p>
      <w:pPr>
        <w:ind w:firstLine="560"/>
        <w:rPr>
          <w:rFonts w:ascii="仿宋" w:hAnsi="仿宋" w:eastAsia="仿宋" w:cs="仿宋_GB2312"/>
          <w:sz w:val="32"/>
          <w:szCs w:val="32"/>
        </w:rPr>
      </w:pPr>
      <w:r>
        <w:rPr>
          <w:rFonts w:hint="eastAsia" w:ascii="仿宋" w:hAnsi="仿宋" w:eastAsia="仿宋" w:cs="仿宋_GB2312"/>
          <w:sz w:val="32"/>
          <w:szCs w:val="32"/>
        </w:rPr>
        <w:t>（一）、食品安全管理</w:t>
      </w:r>
    </w:p>
    <w:p>
      <w:pPr>
        <w:ind w:firstLine="560"/>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通过对食品各个环节的强力监管，及时发现食品监管中存在的问题，重点突出食品安全县建设以及做好重大活动和暑期食品安全保障，争创全国食品安全县。</w:t>
      </w:r>
    </w:p>
    <w:p>
      <w:pPr>
        <w:ind w:firstLine="560"/>
        <w:rPr>
          <w:rFonts w:ascii="仿宋" w:hAnsi="仿宋" w:eastAsia="仿宋" w:cs="仿宋_GB2312"/>
          <w:sz w:val="32"/>
          <w:szCs w:val="32"/>
        </w:rPr>
      </w:pPr>
      <w:r>
        <w:rPr>
          <w:rFonts w:hint="eastAsia" w:ascii="仿宋" w:hAnsi="仿宋" w:eastAsia="仿宋" w:cs="仿宋_GB2312"/>
          <w:sz w:val="32"/>
          <w:szCs w:val="32"/>
        </w:rPr>
        <w:t>（二）、药品安全管理</w:t>
      </w:r>
    </w:p>
    <w:p>
      <w:pPr>
        <w:ind w:firstLine="560"/>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通过对药品和化妆品从研究、生产、流通、销售各个环节的强力监管，及时发现制假售假药问题，重点做好基本药物招标工作和不良反应事件的处置工作。提高我省药物的合格率，对制假售假案件保持高压态势，确保我县药品安全。</w:t>
      </w:r>
    </w:p>
    <w:p>
      <w:pPr>
        <w:ind w:firstLine="560"/>
        <w:rPr>
          <w:rFonts w:ascii="仿宋" w:hAnsi="仿宋" w:eastAsia="仿宋" w:cs="仿宋_GB2312"/>
          <w:sz w:val="32"/>
          <w:szCs w:val="32"/>
        </w:rPr>
      </w:pPr>
      <w:r>
        <w:rPr>
          <w:rFonts w:hint="eastAsia" w:ascii="仿宋" w:hAnsi="仿宋" w:eastAsia="仿宋" w:cs="仿宋_GB2312"/>
          <w:sz w:val="32"/>
          <w:szCs w:val="32"/>
        </w:rPr>
        <w:t>（三）、食品药品案件查处</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加强对食品药品安全知识的宣传，鼓励人民群众举报食品药品案件线索，及时发现和查处食品药品制假售假案件，对所有食品药品案件</w:t>
      </w:r>
      <w:r>
        <w:rPr>
          <w:rFonts w:ascii="仿宋" w:hAnsi="仿宋" w:eastAsia="仿宋" w:cs="仿宋_GB2312"/>
          <w:sz w:val="32"/>
          <w:szCs w:val="32"/>
        </w:rPr>
        <w:t>100%</w:t>
      </w:r>
      <w:r>
        <w:rPr>
          <w:rFonts w:hint="eastAsia" w:ascii="仿宋" w:hAnsi="仿宋" w:eastAsia="仿宋" w:cs="仿宋_GB2312"/>
          <w:sz w:val="32"/>
          <w:szCs w:val="32"/>
        </w:rPr>
        <w:t>查处，始终保持对食品药品制假售假的零容忍，确保我县不出现重大责任事故。</w:t>
      </w:r>
    </w:p>
    <w:p>
      <w:pPr>
        <w:autoSpaceDE w:val="0"/>
        <w:autoSpaceDN w:val="0"/>
        <w:adjustRightInd w:val="0"/>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（四）、食品药品政务管理</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负责食品安全监督管理综合协调，推动健全协调联动机制。加强食品药品检验能力建设，并开展相关业务活动。客观公正地完成对各市的食品药品安全工作考核评价，突发事件得到及时处置。</w:t>
      </w:r>
    </w:p>
    <w:p>
      <w:pPr>
        <w:ind w:firstLine="643" w:firstLineChars="200"/>
        <w:jc w:val="left"/>
        <w:outlineLvl w:val="0"/>
        <w:rPr>
          <w:rFonts w:hint="eastAsia" w:cs="Times New Roman" w:asciiTheme="minorEastAsia" w:hAnsiTheme="minorEastAsia"/>
          <w:b/>
          <w:sz w:val="32"/>
          <w:szCs w:val="32"/>
        </w:rPr>
      </w:pPr>
      <w:r>
        <w:rPr>
          <w:rFonts w:hint="eastAsia" w:cs="Times New Roman" w:asciiTheme="minorEastAsia" w:hAnsiTheme="minorEastAsia"/>
          <w:b/>
          <w:sz w:val="32"/>
          <w:szCs w:val="32"/>
        </w:rPr>
        <w:t>部门职责及工作活动绩效目标指标：</w:t>
      </w:r>
    </w:p>
    <w:p>
      <w:pPr>
        <w:jc w:val="center"/>
        <w:outlineLvl w:val="0"/>
        <w:rPr>
          <w:rFonts w:ascii="方正小标宋_GBK" w:eastAsia="方正小标宋_GBK"/>
          <w:color w:val="FFFFFF"/>
          <w:sz w:val="32"/>
        </w:rPr>
      </w:pPr>
      <w:bookmarkStart w:id="1" w:name="_Toc2697438"/>
      <w:r>
        <w:rPr>
          <w:rFonts w:hint="eastAsia" w:ascii="方正小标宋_GBK" w:eastAsia="方正小标宋_GBK"/>
          <w:sz w:val="32"/>
        </w:rPr>
        <w:t>部门职责-工作活动绩效目标</w:t>
      </w:r>
      <w:r>
        <w:rPr>
          <w:rStyle w:val="11"/>
          <w:rFonts w:ascii="方正小标宋_GBK" w:eastAsia="方正小标宋_GBK"/>
          <w:color w:val="FFFFFF"/>
          <w:sz w:val="32"/>
        </w:rPr>
        <w:footnoteReference w:id="0" w:customMarkFollows="1"/>
        <w:sym w:font="Symbol" w:char="F020"/>
      </w:r>
      <w:bookmarkEnd w:id="1"/>
    </w:p>
    <w:p>
      <w:pPr>
        <w:jc w:val="left"/>
        <w:outlineLvl w:val="0"/>
        <w:rPr>
          <w:rFonts w:hint="eastAsia" w:ascii="方正小标宋_GBK" w:eastAsia="方正小标宋_GBK"/>
          <w:sz w:val="32"/>
          <w:lang w:val="en-US" w:eastAsia="zh-CN"/>
        </w:rPr>
      </w:pPr>
      <w:r>
        <w:rPr>
          <w:rFonts w:hint="eastAsia" w:ascii="方正小标宋_GBK" w:eastAsia="方正小标宋_GBK"/>
          <w:sz w:val="32"/>
          <w:lang w:val="en-US" w:eastAsia="zh-CN"/>
        </w:rPr>
        <w:t>424香河县食品药品监督管理局</w:t>
      </w:r>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一、食品安全管理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180.00</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对食品生产、流通、餐饮消费各环节进行监管、及时发现和排除食品安全问题，确保大型活动期间的食品安全</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通过对食品各个环节的强力监管，及时发现食品监管中存在的问题，做好重大活动和暑期食品安全保障</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、食品（含保健品）安全监管</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180.00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通过对食品生产、流通、餐饮消费环节和保健食品的强力监管，及时发现和排除食品安全问题</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确保食品生产、流通、消费环节和保健食品不出现重大事故</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食品抽检计划完成率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餐饮业、食堂等消费环节安全信息监测覆盖面</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不合格样品生产企业处理率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食品生产企业检查率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、重大活动餐饮服务食品安全保障</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规范重大活动餐饮服务单位食品安全监管，确保大型政治、经济、文化、体育活动以及在我县范围内举办各类大型会议等活动期间的餐饮服务食品安全。</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提升重大活动餐饮服务食品安全监管水平</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餐饮服务接待单位达标率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暑供食品监督抽检覆盖率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重大活动餐饮服务接待单位食品抽检合格率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二、药品安全管理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全面加强对基本药物（医疗器械及包装材料）及化妆品的质量监管指导，监督药品生产企业严格按照药品标准进行生产，做好药物不良反应监测及调查处置</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通过对药品和化妆品从研究、生产、流通、销售各个环节的强力监管，及时发现制假售假药问题，重点做好基本药物招标工作和不良反应事件的处置工作，确保我县药物的合格率</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、药品（医疗器械）监管</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16.00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国家基本药物目录品种的全覆盖抽验，全面加强对基本药物的质量监管；对参加集中采购的药品生产经营企业及其申报的资质及有关证明文件进行审核把关；协助建立完善流通环节药品安全隐患排查治理机制。</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实现基本药物品种全覆盖抽验；规范药品采购、储存、销售、运输等环节，确保药品质量</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对检出问题的产品依法核查处置率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药品中标样品检验完成率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医疗器械及药品包装材料抽检计划完成率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中标单位资质准确率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国家基本药物目录品种的全覆盖抽验完成率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、药品标准实施与认证</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指导和监督药品生产企业严格按照药品标准进行生产，对</w:t>
            </w:r>
            <w:r>
              <w:rPr>
                <w:rFonts w:ascii="方正书宋_GBK" w:eastAsia="方正书宋_GBK"/>
              </w:rPr>
              <w:t>GSP</w:t>
            </w:r>
            <w:r>
              <w:rPr>
                <w:rFonts w:hint="eastAsia" w:ascii="方正书宋_GBK" w:eastAsia="方正书宋_GBK"/>
              </w:rPr>
              <w:t>、</w:t>
            </w:r>
            <w:r>
              <w:rPr>
                <w:rFonts w:ascii="方正书宋_GBK" w:eastAsia="方正书宋_GBK"/>
              </w:rPr>
              <w:t>GMP</w:t>
            </w:r>
            <w:r>
              <w:rPr>
                <w:rFonts w:hint="eastAsia" w:ascii="方正书宋_GBK" w:eastAsia="方正书宋_GBK"/>
              </w:rPr>
              <w:t>认证检查员培训。</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提高药品质量控制水平、从源头上保证药品质量。</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药品经营企业日常跟踪检查率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药品生产企业检查覆盖面</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对药品生产企业监督检查率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w:t>
            </w:r>
            <w:r>
              <w:rPr>
                <w:rFonts w:ascii="方正书宋_GBK" w:eastAsia="方正书宋_GBK"/>
              </w:rPr>
              <w:t>80%</w:t>
            </w:r>
            <w:r>
              <w:rPr>
                <w:rFonts w:hint="eastAsia" w:ascii="方正书宋_GBK" w:eastAsia="方正书宋_GBK"/>
              </w:rPr>
              <w:t>骨干认证检查员培训率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药品经营企业日常跟踪检查率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、化妆品监管</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对化妆品生产企业、经营企业的经常性监督检查、化妆品许可工作、对乡镇监管工作的检查指导、培训等工作。</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掌握化妆品安全状况、打击违法产品、保障化妆品质量安全</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不合格产品查处率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有证企业产品备案率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全县生产、经营企业检查覆盖率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三、食品药品案件查处</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对危害群众食品及药品安全的案件进行查处，确保人民群众饮食用药和器械安全</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加强食品药品医疗器械知识的宣传，鼓励人民群众举报食品药品案件线索，及时发现和查处食品药品制假售假案件，保持对食品药品案件的零容忍，确保不出现重大责任事故</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、稽查和打假办案工作</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食品（含保健食品、酒类）、药品、医疗器材及化妆品安全违法案件的稽查工作，并对违法生产、经营、使用药品、医疗器械案件以及违法生产、经营食品的案件进行查处，保障人民群众用药饮食和器械安全，维持正常市场经济秩序。</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震慑犯罪，确保制假售假案件呈下降态势</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制假售假案件下降率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案件查处率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四、食品药品政务管理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117.84</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落实食品药品监管政策，组织指导相关工作开展，推动食品药品工作协调联动，承担政务公开和业务宣传工作，加强食品药品能力建设。</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做好食药安全宣传工作，及时处理突发事件，全面提升食药系统能力建设。</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、食品药品综合业务管理</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117.84</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强化监管手段，组织开展监督、检查、检测、案件处置、统计分析、信息公开、宣传教育等各项综合业务工作。</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为顺利开展各项食品药品工作提供有效保障，确保食品药品安全。</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突发事件处置率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食品药品安全宣传教育活动完成率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、食品药品综合事务管理</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建设一批高素质食品药品人才队伍，开展食品药品工作考核评价，做好机构信息化、基础设施、装备配置等各项工作。</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检测装备基本适应监管职责需求</w:t>
            </w:r>
            <w:r>
              <w:rPr>
                <w:rFonts w:ascii="方正书宋_GBK" w:eastAsia="方正书宋_GBK"/>
              </w:rPr>
              <w:t>,</w:t>
            </w:r>
            <w:r>
              <w:rPr>
                <w:rFonts w:hint="eastAsia" w:ascii="方正书宋_GBK" w:eastAsia="方正书宋_GBK"/>
              </w:rPr>
              <w:t>提高我省食品药品系统综合能力。</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信息化保障支撑度</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执法装备配备率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bl>
    <w:p>
      <w:pPr>
        <w:ind w:firstLine="643" w:firstLineChars="200"/>
        <w:jc w:val="left"/>
        <w:outlineLvl w:val="0"/>
        <w:rPr>
          <w:rFonts w:hint="eastAsia" w:cs="Times New Roman" w:asciiTheme="minorEastAsia" w:hAnsiTheme="minorEastAsia"/>
          <w:b/>
          <w:sz w:val="32"/>
          <w:szCs w:val="32"/>
        </w:rPr>
      </w:pPr>
    </w:p>
    <w:p>
      <w:pPr>
        <w:jc w:val="center"/>
        <w:outlineLvl w:val="0"/>
        <w:rPr>
          <w:rFonts w:ascii="方正小标宋_GBK" w:hAnsi="Times New Roman" w:eastAsia="方正小标宋_GBK" w:cs="Times New Roman"/>
          <w:sz w:val="32"/>
          <w:szCs w:val="24"/>
        </w:rPr>
      </w:pPr>
    </w:p>
    <w:bookmarkEnd w:id="0"/>
    <w:p>
      <w:pPr>
        <w:autoSpaceDE w:val="0"/>
        <w:autoSpaceDN w:val="0"/>
        <w:adjustRightInd w:val="0"/>
        <w:ind w:left="200"/>
        <w:jc w:val="left"/>
        <w:rPr>
          <w:rFonts w:ascii="宋体" w:eastAsia="宋体" w:cs="宋体"/>
          <w:kern w:val="0"/>
          <w:sz w:val="18"/>
          <w:szCs w:val="18"/>
          <w:lang w:val="zh-CN"/>
        </w:rPr>
      </w:pPr>
    </w:p>
    <w:p>
      <w:pPr>
        <w:ind w:firstLine="640"/>
        <w:rPr>
          <w:rFonts w:ascii="黑体" w:hAnsi="黑体" w:eastAsia="黑体" w:cs="Times New Roman"/>
          <w:sz w:val="32"/>
          <w:szCs w:val="32"/>
        </w:rPr>
      </w:pPr>
      <w:r>
        <w:rPr>
          <w:rFonts w:hint="eastAsia" w:ascii="黑体" w:hAnsi="黑体" w:eastAsia="黑体" w:cs="Times New Roman"/>
          <w:sz w:val="32"/>
          <w:szCs w:val="32"/>
        </w:rPr>
        <w:t>六、政府采购预算情况</w:t>
      </w:r>
    </w:p>
    <w:p>
      <w:pPr>
        <w:widowControl/>
        <w:shd w:val="clear" w:color="auto" w:fill="FFFFFF"/>
        <w:spacing w:line="580" w:lineRule="atLeast"/>
        <w:ind w:firstLine="640"/>
        <w:jc w:val="left"/>
        <w:rPr>
          <w:rFonts w:hint="eastAsia" w:ascii="仿宋" w:hAnsi="仿宋" w:eastAsia="仿宋" w:cs="Times New Roman"/>
          <w:sz w:val="32"/>
          <w:szCs w:val="32"/>
        </w:rPr>
      </w:pPr>
      <w:bookmarkStart w:id="2" w:name="_Toc471398468"/>
      <w:r>
        <w:rPr>
          <w:rFonts w:cs="Times New Roman" w:asciiTheme="minorEastAsia" w:hAnsiTheme="minorEastAsia"/>
          <w:sz w:val="32"/>
          <w:szCs w:val="32"/>
        </w:rPr>
        <w:t xml:space="preserve">  </w:t>
      </w:r>
      <w:bookmarkEnd w:id="2"/>
      <w:r>
        <w:rPr>
          <w:rFonts w:hint="eastAsia" w:ascii="仿宋" w:hAnsi="仿宋" w:eastAsia="仿宋" w:cs="Times New Roman"/>
          <w:sz w:val="32"/>
          <w:szCs w:val="32"/>
        </w:rPr>
        <w:t>本年度部门预算共计安排政府采购项目为</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类</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130</w:t>
      </w:r>
      <w:r>
        <w:rPr>
          <w:rFonts w:hint="eastAsia" w:ascii="仿宋" w:hAnsi="仿宋" w:eastAsia="仿宋" w:cs="Times New Roman"/>
          <w:sz w:val="32"/>
          <w:szCs w:val="32"/>
        </w:rPr>
        <w:t>万元，其中：货物类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万元；工程类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万元；服务类</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130</w:t>
      </w:r>
      <w:r>
        <w:rPr>
          <w:rFonts w:hint="eastAsia" w:ascii="仿宋" w:hAnsi="仿宋" w:eastAsia="仿宋" w:cs="Times New Roman"/>
          <w:sz w:val="32"/>
          <w:szCs w:val="32"/>
        </w:rPr>
        <w:t>万元，主要包括</w:t>
      </w:r>
      <w:r>
        <w:rPr>
          <w:rFonts w:hint="eastAsia" w:ascii="仿宋" w:hAnsi="仿宋" w:eastAsia="仿宋" w:cs="Times New Roman"/>
          <w:sz w:val="32"/>
          <w:szCs w:val="32"/>
          <w:lang w:eastAsia="zh-CN"/>
        </w:rPr>
        <w:t>食品</w:t>
      </w:r>
      <w:r>
        <w:rPr>
          <w:rFonts w:hint="eastAsia" w:ascii="仿宋" w:hAnsi="仿宋" w:eastAsia="仿宋" w:cs="Times New Roman"/>
          <w:sz w:val="32"/>
          <w:szCs w:val="32"/>
          <w:lang w:val="en-US" w:eastAsia="zh-CN"/>
        </w:rPr>
        <w:t>抽</w:t>
      </w:r>
      <w:r>
        <w:rPr>
          <w:rFonts w:hint="eastAsia" w:ascii="仿宋" w:hAnsi="仿宋" w:eastAsia="仿宋" w:cs="Times New Roman"/>
          <w:sz w:val="32"/>
          <w:szCs w:val="32"/>
          <w:lang w:eastAsia="zh-CN"/>
        </w:rPr>
        <w:t>验</w:t>
      </w:r>
      <w:r>
        <w:rPr>
          <w:rFonts w:hint="eastAsia" w:ascii="仿宋" w:hAnsi="仿宋" w:eastAsia="仿宋" w:cs="Times New Roman"/>
          <w:sz w:val="32"/>
          <w:szCs w:val="32"/>
        </w:rPr>
        <w:t>服务</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项。</w:t>
      </w:r>
    </w:p>
    <w:p>
      <w:pPr>
        <w:jc w:val="center"/>
        <w:outlineLvl w:val="0"/>
        <w:rPr>
          <w:rFonts w:ascii="宋体" w:hAnsi="宋体"/>
          <w:sz w:val="32"/>
          <w:szCs w:val="24"/>
        </w:rPr>
      </w:pPr>
      <w:r>
        <w:rPr>
          <w:rFonts w:hint="eastAsia" w:ascii="宋体" w:hAnsi="宋体"/>
          <w:sz w:val="32"/>
          <w:szCs w:val="24"/>
        </w:rPr>
        <w:t>部门政府采购预算</w:t>
      </w:r>
    </w:p>
    <w:tbl>
      <w:tblPr>
        <w:tblStyle w:val="8"/>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696"/>
        <w:gridCol w:w="990"/>
        <w:gridCol w:w="1035"/>
        <w:gridCol w:w="945"/>
        <w:gridCol w:w="990"/>
        <w:gridCol w:w="640"/>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299"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小标宋_GBK" w:hAnsi="Times New Roman" w:eastAsia="方正小标宋_GBK"/>
                <w:sz w:val="24"/>
                <w:szCs w:val="24"/>
                <w:lang w:val="en-US" w:eastAsia="zh-CN"/>
              </w:rPr>
            </w:pPr>
            <w:r>
              <w:rPr>
                <w:rFonts w:hint="eastAsia" w:ascii="方正小标宋_GBK" w:hAnsi="Times New Roman" w:eastAsia="方正小标宋_GBK"/>
                <w:sz w:val="24"/>
                <w:szCs w:val="24"/>
                <w:lang w:val="en-US" w:eastAsia="zh-CN"/>
              </w:rPr>
              <w:t>424香河县食品药品监督管理局</w:t>
            </w:r>
          </w:p>
        </w:tc>
        <w:tc>
          <w:tcPr>
            <w:tcW w:w="6198"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696"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90"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98" w:type="dxa"/>
            <w:gridSpan w:val="7"/>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vAlign w:val="center"/>
          </w:tcPr>
          <w:p>
            <w:pPr>
              <w:spacing w:line="300" w:lineRule="exact"/>
              <w:jc w:val="left"/>
              <w:outlineLvl w:val="0"/>
              <w:rPr>
                <w:rFonts w:ascii="Times New Roman" w:hAnsi="Times New Roman"/>
                <w:szCs w:val="24"/>
              </w:rPr>
            </w:pPr>
          </w:p>
        </w:tc>
        <w:tc>
          <w:tcPr>
            <w:tcW w:w="1398"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696" w:type="dxa"/>
            <w:vMerge w:val="continue"/>
            <w:vAlign w:val="center"/>
          </w:tcPr>
          <w:p>
            <w:pPr>
              <w:spacing w:line="300" w:lineRule="exact"/>
              <w:jc w:val="left"/>
              <w:outlineLvl w:val="0"/>
              <w:rPr>
                <w:rFonts w:ascii="Times New Roman" w:hAnsi="Times New Roman"/>
                <w:szCs w:val="24"/>
              </w:rPr>
            </w:pPr>
          </w:p>
        </w:tc>
        <w:tc>
          <w:tcPr>
            <w:tcW w:w="990" w:type="dxa"/>
            <w:vMerge w:val="continue"/>
            <w:vAlign w:val="center"/>
          </w:tcPr>
          <w:p>
            <w:pPr>
              <w:spacing w:line="300" w:lineRule="exact"/>
              <w:jc w:val="left"/>
              <w:outlineLvl w:val="0"/>
              <w:rPr>
                <w:rFonts w:ascii="Times New Roman" w:hAnsi="Times New Roman"/>
                <w:szCs w:val="24"/>
              </w:rPr>
            </w:pPr>
          </w:p>
        </w:tc>
        <w:tc>
          <w:tcPr>
            <w:tcW w:w="1035"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37" w:type="dxa"/>
            <w:gridSpan w:val="5"/>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2391" w:type="dxa"/>
            <w:vMerge w:val="continue"/>
            <w:vAlign w:val="center"/>
          </w:tcPr>
          <w:p>
            <w:pPr>
              <w:spacing w:line="300" w:lineRule="exact"/>
              <w:jc w:val="left"/>
              <w:outlineLvl w:val="0"/>
              <w:rPr>
                <w:rFonts w:ascii="Times New Roman" w:hAnsi="Times New Roman"/>
                <w:szCs w:val="24"/>
              </w:rPr>
            </w:pPr>
          </w:p>
        </w:tc>
        <w:tc>
          <w:tcPr>
            <w:tcW w:w="1066"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1398"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696" w:type="dxa"/>
            <w:vMerge w:val="continue"/>
            <w:vAlign w:val="center"/>
          </w:tcPr>
          <w:p>
            <w:pPr>
              <w:spacing w:line="300" w:lineRule="exact"/>
              <w:jc w:val="left"/>
              <w:outlineLvl w:val="0"/>
              <w:rPr>
                <w:rFonts w:ascii="Times New Roman" w:hAnsi="Times New Roman"/>
                <w:szCs w:val="24"/>
              </w:rPr>
            </w:pPr>
          </w:p>
        </w:tc>
        <w:tc>
          <w:tcPr>
            <w:tcW w:w="990" w:type="dxa"/>
            <w:vMerge w:val="continue"/>
            <w:vAlign w:val="center"/>
          </w:tcPr>
          <w:p>
            <w:pPr>
              <w:spacing w:line="300" w:lineRule="exact"/>
              <w:jc w:val="left"/>
              <w:outlineLvl w:val="0"/>
              <w:rPr>
                <w:rFonts w:ascii="Times New Roman" w:hAnsi="Times New Roman"/>
                <w:szCs w:val="24"/>
              </w:rPr>
            </w:pPr>
          </w:p>
        </w:tc>
        <w:tc>
          <w:tcPr>
            <w:tcW w:w="1035" w:type="dxa"/>
            <w:vMerge w:val="continue"/>
            <w:vAlign w:val="center"/>
          </w:tcPr>
          <w:p>
            <w:pPr>
              <w:spacing w:line="300" w:lineRule="exact"/>
              <w:jc w:val="left"/>
              <w:outlineLvl w:val="0"/>
              <w:rPr>
                <w:rFonts w:ascii="Times New Roman" w:hAnsi="Times New Roman"/>
                <w:szCs w:val="24"/>
              </w:rPr>
            </w:pPr>
          </w:p>
        </w:tc>
        <w:tc>
          <w:tcPr>
            <w:tcW w:w="945"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990"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640"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vAlign w:val="center"/>
          </w:tcPr>
          <w:p>
            <w:pPr>
              <w:spacing w:line="300" w:lineRule="exact"/>
              <w:jc w:val="righ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1398" w:type="dxa"/>
            <w:vAlign w:val="center"/>
          </w:tcPr>
          <w:p>
            <w:pPr>
              <w:spacing w:line="300" w:lineRule="exact"/>
              <w:jc w:val="lef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696" w:type="dxa"/>
            <w:vAlign w:val="center"/>
          </w:tcPr>
          <w:p>
            <w:pPr>
              <w:spacing w:line="300" w:lineRule="exact"/>
              <w:jc w:val="right"/>
              <w:rPr>
                <w:rFonts w:ascii="方正书宋_GBK" w:hAnsi="Times New Roman" w:eastAsia="方正书宋_GBK"/>
                <w:b/>
                <w:szCs w:val="24"/>
              </w:rPr>
            </w:pPr>
          </w:p>
        </w:tc>
        <w:tc>
          <w:tcPr>
            <w:tcW w:w="990" w:type="dxa"/>
            <w:vAlign w:val="center"/>
          </w:tcPr>
          <w:p>
            <w:pPr>
              <w:spacing w:line="300" w:lineRule="exact"/>
              <w:jc w:val="right"/>
              <w:rPr>
                <w:rFonts w:hint="eastAsia" w:ascii="方正书宋_GBK" w:hAnsi="Times New Roman" w:eastAsia="方正书宋_GBK"/>
                <w:b/>
                <w:szCs w:val="24"/>
                <w:lang w:val="en-US" w:eastAsia="zh-CN"/>
              </w:rPr>
            </w:pPr>
          </w:p>
        </w:tc>
        <w:tc>
          <w:tcPr>
            <w:tcW w:w="1035" w:type="dxa"/>
            <w:vAlign w:val="center"/>
          </w:tcPr>
          <w:p>
            <w:pPr>
              <w:spacing w:line="300" w:lineRule="exact"/>
              <w:jc w:val="right"/>
              <w:rPr>
                <w:rFonts w:hint="eastAsia" w:ascii="方正书宋_GBK" w:hAnsi="Times New Roman" w:eastAsia="方正书宋_GBK"/>
                <w:b/>
                <w:szCs w:val="24"/>
                <w:lang w:val="en-US" w:eastAsia="zh-CN"/>
              </w:rPr>
            </w:pPr>
            <w:r>
              <w:rPr>
                <w:rFonts w:hint="eastAsia" w:ascii="方正书宋_GBK" w:hAnsi="Times New Roman" w:eastAsia="方正书宋_GBK"/>
                <w:b/>
                <w:szCs w:val="24"/>
                <w:lang w:val="en-US" w:eastAsia="zh-CN"/>
              </w:rPr>
              <w:t>130.00</w:t>
            </w:r>
          </w:p>
        </w:tc>
        <w:tc>
          <w:tcPr>
            <w:tcW w:w="945" w:type="dxa"/>
            <w:vAlign w:val="center"/>
          </w:tcPr>
          <w:p>
            <w:pPr>
              <w:spacing w:line="300" w:lineRule="exact"/>
              <w:jc w:val="right"/>
              <w:rPr>
                <w:rFonts w:hint="eastAsia" w:ascii="方正书宋_GBK" w:hAnsi="Times New Roman" w:eastAsia="方正书宋_GBK"/>
                <w:b/>
                <w:szCs w:val="24"/>
                <w:lang w:val="en-US" w:eastAsia="zh-CN"/>
              </w:rPr>
            </w:pPr>
            <w:r>
              <w:rPr>
                <w:rFonts w:hint="eastAsia" w:ascii="方正书宋_GBK" w:hAnsi="Times New Roman" w:eastAsia="方正书宋_GBK"/>
                <w:b/>
                <w:szCs w:val="24"/>
                <w:lang w:val="en-US" w:eastAsia="zh-CN"/>
              </w:rPr>
              <w:t>130.00</w:t>
            </w:r>
          </w:p>
        </w:tc>
        <w:tc>
          <w:tcPr>
            <w:tcW w:w="990" w:type="dxa"/>
            <w:vAlign w:val="center"/>
          </w:tcPr>
          <w:p>
            <w:pPr>
              <w:spacing w:line="300" w:lineRule="exact"/>
              <w:jc w:val="right"/>
              <w:rPr>
                <w:rFonts w:hint="eastAsia" w:ascii="方正书宋_GBK" w:hAnsi="Times New Roman" w:eastAsia="方正书宋_GBK"/>
                <w:b/>
                <w:szCs w:val="24"/>
                <w:lang w:val="en-US" w:eastAsia="zh-CN"/>
              </w:rPr>
            </w:pPr>
            <w:r>
              <w:rPr>
                <w:rFonts w:hint="eastAsia" w:ascii="方正书宋_GBK" w:hAnsi="Times New Roman" w:eastAsia="方正书宋_GBK"/>
                <w:b/>
                <w:szCs w:val="24"/>
                <w:lang w:val="en-US" w:eastAsia="zh-CN"/>
              </w:rPr>
              <w:t>130.00</w:t>
            </w:r>
          </w:p>
        </w:tc>
        <w:tc>
          <w:tcPr>
            <w:tcW w:w="640"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26"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vAlign w:val="center"/>
          </w:tcPr>
          <w:p>
            <w:pPr>
              <w:spacing w:line="300" w:lineRule="exact"/>
              <w:jc w:val="center"/>
              <w:rPr>
                <w:rFonts w:hint="eastAsia" w:ascii="方正书宋_GBK" w:hAnsi="Times New Roman" w:eastAsia="方正书宋_GBK"/>
                <w:b/>
                <w:szCs w:val="24"/>
                <w:lang w:eastAsia="zh-CN"/>
              </w:rPr>
            </w:pPr>
            <w:r>
              <w:rPr>
                <w:rFonts w:hint="eastAsia" w:ascii="方正书宋_GBK" w:hAnsi="Times New Roman" w:eastAsia="方正书宋_GBK"/>
                <w:b/>
                <w:szCs w:val="24"/>
                <w:lang w:eastAsia="zh-CN"/>
              </w:rPr>
              <w:t>香河县食品药品监督管理局小计</w:t>
            </w:r>
          </w:p>
        </w:tc>
        <w:tc>
          <w:tcPr>
            <w:tcW w:w="1066" w:type="dxa"/>
            <w:vAlign w:val="center"/>
          </w:tcPr>
          <w:p>
            <w:pPr>
              <w:spacing w:line="300" w:lineRule="exact"/>
              <w:jc w:val="righ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1398" w:type="dxa"/>
            <w:vAlign w:val="center"/>
          </w:tcPr>
          <w:p>
            <w:pPr>
              <w:spacing w:line="300" w:lineRule="exact"/>
              <w:jc w:val="lef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696" w:type="dxa"/>
            <w:vAlign w:val="center"/>
          </w:tcPr>
          <w:p>
            <w:pPr>
              <w:spacing w:line="300" w:lineRule="exact"/>
              <w:jc w:val="right"/>
              <w:rPr>
                <w:rFonts w:ascii="方正书宋_GBK" w:hAnsi="Times New Roman" w:eastAsia="方正书宋_GBK"/>
                <w:b/>
                <w:szCs w:val="24"/>
              </w:rPr>
            </w:pPr>
          </w:p>
        </w:tc>
        <w:tc>
          <w:tcPr>
            <w:tcW w:w="990" w:type="dxa"/>
            <w:vAlign w:val="center"/>
          </w:tcPr>
          <w:p>
            <w:pPr>
              <w:spacing w:line="300" w:lineRule="exact"/>
              <w:jc w:val="right"/>
              <w:rPr>
                <w:rFonts w:ascii="方正书宋_GBK" w:hAnsi="Times New Roman" w:eastAsia="方正书宋_GBK"/>
                <w:b/>
                <w:szCs w:val="24"/>
              </w:rPr>
            </w:pPr>
          </w:p>
        </w:tc>
        <w:tc>
          <w:tcPr>
            <w:tcW w:w="1035" w:type="dxa"/>
            <w:vAlign w:val="center"/>
          </w:tcPr>
          <w:p>
            <w:pPr>
              <w:spacing w:line="300" w:lineRule="exact"/>
              <w:jc w:val="right"/>
              <w:rPr>
                <w:rFonts w:hint="eastAsia" w:ascii="方正书宋_GBK" w:hAnsi="Times New Roman" w:eastAsia="方正书宋_GBK"/>
                <w:b/>
                <w:szCs w:val="24"/>
                <w:lang w:val="en-US" w:eastAsia="zh-CN"/>
              </w:rPr>
            </w:pPr>
            <w:r>
              <w:rPr>
                <w:rFonts w:hint="eastAsia" w:ascii="方正书宋_GBK" w:hAnsi="Times New Roman" w:eastAsia="方正书宋_GBK"/>
                <w:b/>
                <w:szCs w:val="24"/>
                <w:lang w:val="en-US" w:eastAsia="zh-CN"/>
              </w:rPr>
              <w:t>130.00</w:t>
            </w:r>
          </w:p>
        </w:tc>
        <w:tc>
          <w:tcPr>
            <w:tcW w:w="945" w:type="dxa"/>
            <w:vAlign w:val="center"/>
          </w:tcPr>
          <w:p>
            <w:pPr>
              <w:spacing w:line="300" w:lineRule="exact"/>
              <w:jc w:val="right"/>
              <w:rPr>
                <w:rFonts w:hint="eastAsia" w:ascii="方正书宋_GBK" w:hAnsi="Times New Roman" w:eastAsia="方正书宋_GBK"/>
                <w:b/>
                <w:szCs w:val="24"/>
                <w:lang w:val="en-US" w:eastAsia="zh-CN"/>
              </w:rPr>
            </w:pPr>
            <w:r>
              <w:rPr>
                <w:rFonts w:hint="eastAsia" w:ascii="方正书宋_GBK" w:hAnsi="Times New Roman" w:eastAsia="方正书宋_GBK"/>
                <w:b/>
                <w:szCs w:val="24"/>
                <w:lang w:val="en-US" w:eastAsia="zh-CN"/>
              </w:rPr>
              <w:t>130.00</w:t>
            </w:r>
          </w:p>
        </w:tc>
        <w:tc>
          <w:tcPr>
            <w:tcW w:w="990" w:type="dxa"/>
            <w:vAlign w:val="center"/>
          </w:tcPr>
          <w:p>
            <w:pPr>
              <w:spacing w:line="300" w:lineRule="exact"/>
              <w:jc w:val="right"/>
              <w:rPr>
                <w:rFonts w:hint="eastAsia" w:ascii="方正书宋_GBK" w:hAnsi="Times New Roman" w:eastAsia="方正书宋_GBK"/>
                <w:b/>
                <w:szCs w:val="24"/>
                <w:lang w:val="en-US" w:eastAsia="zh-CN"/>
              </w:rPr>
            </w:pPr>
            <w:r>
              <w:rPr>
                <w:rFonts w:hint="eastAsia" w:ascii="方正书宋_GBK" w:hAnsi="Times New Roman" w:eastAsia="方正书宋_GBK"/>
                <w:b/>
                <w:szCs w:val="24"/>
                <w:lang w:val="en-US" w:eastAsia="zh-CN"/>
              </w:rPr>
              <w:t>130.00</w:t>
            </w:r>
          </w:p>
        </w:tc>
        <w:tc>
          <w:tcPr>
            <w:tcW w:w="640"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26"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vAlign w:val="center"/>
          </w:tcPr>
          <w:p>
            <w:pPr>
              <w:spacing w:line="300" w:lineRule="exact"/>
              <w:jc w:val="left"/>
              <w:rPr>
                <w:rFonts w:hint="eastAsia" w:ascii="方正书宋_GBK" w:hAnsi="Times New Roman" w:eastAsia="方正书宋_GBK"/>
                <w:szCs w:val="24"/>
                <w:lang w:eastAsia="zh-CN"/>
              </w:rPr>
            </w:pPr>
            <w:r>
              <w:rPr>
                <w:rFonts w:hint="eastAsia" w:ascii="方正书宋_GBK" w:hAnsi="Times New Roman" w:eastAsia="方正书宋_GBK"/>
                <w:szCs w:val="24"/>
                <w:lang w:eastAsia="zh-CN"/>
              </w:rPr>
              <w:t>食品抽验经费</w:t>
            </w:r>
          </w:p>
        </w:tc>
        <w:tc>
          <w:tcPr>
            <w:tcW w:w="1066" w:type="dxa"/>
            <w:vAlign w:val="center"/>
          </w:tcPr>
          <w:p>
            <w:pPr>
              <w:spacing w:line="300" w:lineRule="exact"/>
              <w:jc w:val="righ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130.00</w:t>
            </w:r>
          </w:p>
        </w:tc>
        <w:tc>
          <w:tcPr>
            <w:tcW w:w="879" w:type="dxa"/>
            <w:vAlign w:val="center"/>
          </w:tcPr>
          <w:p>
            <w:pPr>
              <w:spacing w:line="300" w:lineRule="exact"/>
              <w:jc w:val="left"/>
              <w:rPr>
                <w:rFonts w:hint="eastAsia" w:ascii="方正书宋_GBK" w:hAnsi="Times New Roman" w:eastAsia="方正书宋_GBK"/>
                <w:szCs w:val="24"/>
                <w:lang w:eastAsia="zh-CN"/>
              </w:rPr>
            </w:pPr>
            <w:r>
              <w:rPr>
                <w:rFonts w:hint="eastAsia" w:ascii="方正书宋_GBK" w:hAnsi="Times New Roman" w:eastAsia="方正书宋_GBK"/>
                <w:szCs w:val="24"/>
                <w:lang w:eastAsia="zh-CN"/>
              </w:rPr>
              <w:t>其他服务</w:t>
            </w:r>
          </w:p>
        </w:tc>
        <w:tc>
          <w:tcPr>
            <w:tcW w:w="1398" w:type="dxa"/>
            <w:vAlign w:val="center"/>
          </w:tcPr>
          <w:p>
            <w:pPr>
              <w:spacing w:line="300" w:lineRule="exact"/>
              <w:jc w:val="lef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C99</w:t>
            </w:r>
          </w:p>
        </w:tc>
        <w:tc>
          <w:tcPr>
            <w:tcW w:w="879" w:type="dxa"/>
            <w:vAlign w:val="center"/>
          </w:tcPr>
          <w:p>
            <w:pPr>
              <w:spacing w:line="300" w:lineRule="exact"/>
              <w:jc w:val="lef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项</w:t>
            </w:r>
          </w:p>
        </w:tc>
        <w:tc>
          <w:tcPr>
            <w:tcW w:w="696" w:type="dxa"/>
            <w:vAlign w:val="center"/>
          </w:tcPr>
          <w:p>
            <w:pPr>
              <w:spacing w:line="300" w:lineRule="exact"/>
              <w:jc w:val="righ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1.00</w:t>
            </w:r>
          </w:p>
        </w:tc>
        <w:tc>
          <w:tcPr>
            <w:tcW w:w="990" w:type="dxa"/>
            <w:vAlign w:val="center"/>
          </w:tcPr>
          <w:p>
            <w:pPr>
              <w:spacing w:line="300" w:lineRule="exact"/>
              <w:jc w:val="righ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130.00</w:t>
            </w:r>
          </w:p>
        </w:tc>
        <w:tc>
          <w:tcPr>
            <w:tcW w:w="1035" w:type="dxa"/>
            <w:vAlign w:val="center"/>
          </w:tcPr>
          <w:p>
            <w:pPr>
              <w:spacing w:line="300" w:lineRule="exact"/>
              <w:jc w:val="righ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130.00</w:t>
            </w:r>
          </w:p>
        </w:tc>
        <w:tc>
          <w:tcPr>
            <w:tcW w:w="945" w:type="dxa"/>
            <w:vAlign w:val="center"/>
          </w:tcPr>
          <w:p>
            <w:pPr>
              <w:spacing w:line="300" w:lineRule="exact"/>
              <w:jc w:val="righ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130.00</w:t>
            </w:r>
          </w:p>
        </w:tc>
        <w:tc>
          <w:tcPr>
            <w:tcW w:w="990" w:type="dxa"/>
            <w:vAlign w:val="center"/>
          </w:tcPr>
          <w:p>
            <w:pPr>
              <w:spacing w:line="300" w:lineRule="exact"/>
              <w:jc w:val="right"/>
              <w:rPr>
                <w:rFonts w:hint="eastAsia" w:ascii="方正书宋_GBK" w:hAnsi="Times New Roman" w:eastAsia="方正书宋_GBK"/>
                <w:szCs w:val="24"/>
                <w:lang w:val="en-US" w:eastAsia="zh-CN"/>
              </w:rPr>
            </w:pPr>
            <w:r>
              <w:rPr>
                <w:rFonts w:hint="eastAsia" w:ascii="方正书宋_GBK" w:hAnsi="Times New Roman" w:eastAsia="方正书宋_GBK"/>
                <w:szCs w:val="24"/>
                <w:lang w:val="en-US" w:eastAsia="zh-CN"/>
              </w:rPr>
              <w:t>130.00</w:t>
            </w:r>
          </w:p>
        </w:tc>
        <w:tc>
          <w:tcPr>
            <w:tcW w:w="640" w:type="dxa"/>
            <w:vAlign w:val="center"/>
          </w:tcPr>
          <w:p>
            <w:pPr>
              <w:spacing w:line="300" w:lineRule="exact"/>
              <w:jc w:val="right"/>
              <w:rPr>
                <w:rFonts w:ascii="方正书宋_GBK" w:hAnsi="Times New Roman" w:eastAsia="方正书宋_GBK"/>
                <w:szCs w:val="24"/>
              </w:rPr>
            </w:pPr>
          </w:p>
        </w:tc>
        <w:tc>
          <w:tcPr>
            <w:tcW w:w="881" w:type="dxa"/>
            <w:vAlign w:val="center"/>
          </w:tcPr>
          <w:p>
            <w:pPr>
              <w:spacing w:line="300" w:lineRule="exact"/>
              <w:jc w:val="right"/>
              <w:rPr>
                <w:rFonts w:ascii="方正书宋_GBK" w:hAnsi="Times New Roman" w:eastAsia="方正书宋_GBK"/>
                <w:szCs w:val="24"/>
              </w:rPr>
            </w:pPr>
          </w:p>
        </w:tc>
        <w:tc>
          <w:tcPr>
            <w:tcW w:w="881" w:type="dxa"/>
            <w:vAlign w:val="center"/>
          </w:tcPr>
          <w:p>
            <w:pPr>
              <w:spacing w:line="300" w:lineRule="exact"/>
              <w:jc w:val="right"/>
              <w:rPr>
                <w:rFonts w:ascii="方正书宋_GBK" w:hAnsi="Times New Roman" w:eastAsia="方正书宋_GBK"/>
                <w:szCs w:val="24"/>
              </w:rPr>
            </w:pPr>
          </w:p>
        </w:tc>
        <w:tc>
          <w:tcPr>
            <w:tcW w:w="826" w:type="dxa"/>
            <w:vAlign w:val="center"/>
          </w:tcPr>
          <w:p>
            <w:pPr>
              <w:spacing w:line="300" w:lineRule="exact"/>
              <w:jc w:val="right"/>
              <w:rPr>
                <w:rFonts w:ascii="方正书宋_GBK" w:hAnsi="Times New Roman" w:eastAsia="方正书宋_GBK"/>
                <w:szCs w:val="24"/>
              </w:rPr>
            </w:pPr>
          </w:p>
        </w:tc>
      </w:tr>
    </w:tbl>
    <w:p>
      <w:pPr>
        <w:pStyle w:val="2"/>
        <w:rPr>
          <w:rFonts w:hint="eastAsia" w:hAnsi="宋体" w:cs="宋体"/>
        </w:rPr>
      </w:pPr>
    </w:p>
    <w:p>
      <w:pPr>
        <w:widowControl/>
        <w:shd w:val="clear" w:color="auto" w:fill="FFFFFF"/>
        <w:spacing w:line="580" w:lineRule="atLeast"/>
        <w:ind w:firstLine="640"/>
        <w:jc w:val="left"/>
        <w:rPr>
          <w:rFonts w:hint="eastAsia" w:ascii="仿宋" w:hAnsi="仿宋" w:eastAsia="仿宋" w:cs="Times New Roman"/>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560" w:lineRule="exact"/>
        <w:ind w:firstLine="640" w:firstLineChars="200"/>
        <w:rPr>
          <w:rFonts w:ascii="仿宋" w:hAnsi="仿宋" w:eastAsia="仿宋" w:cs="Times New Roman"/>
          <w:b/>
          <w:sz w:val="32"/>
          <w:szCs w:val="32"/>
          <w:highlight w:val="red"/>
        </w:rPr>
      </w:pP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食品药品监督管理局</w:t>
      </w:r>
      <w:r>
        <w:rPr>
          <w:rFonts w:hint="eastAsia" w:ascii="仿宋" w:hAnsi="仿宋" w:eastAsia="仿宋" w:cs="Times New Roman"/>
          <w:sz w:val="32"/>
          <w:szCs w:val="32"/>
        </w:rPr>
        <w:t>（含所属单位）上年末固定资产金额为</w:t>
      </w:r>
      <w:r>
        <w:rPr>
          <w:rFonts w:hint="eastAsia" w:ascii="仿宋" w:hAnsi="仿宋" w:eastAsia="仿宋" w:cs="Times New Roman"/>
          <w:sz w:val="32"/>
          <w:szCs w:val="32"/>
          <w:lang w:val="en-US" w:eastAsia="zh-CN"/>
        </w:rPr>
        <w:t>389.49</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w:t>
      </w:r>
      <w:r>
        <w:rPr>
          <w:rFonts w:hint="eastAsia" w:ascii="仿宋" w:hAnsi="仿宋" w:eastAsia="仿宋" w:cs="仿宋_GB2312"/>
          <w:sz w:val="32"/>
          <w:szCs w:val="32"/>
        </w:rPr>
        <w:t>本年度</w:t>
      </w:r>
      <w:r>
        <w:rPr>
          <w:rFonts w:hint="eastAsia" w:ascii="仿宋" w:hAnsi="仿宋" w:eastAsia="仿宋" w:cs="仿宋_GB2312"/>
          <w:sz w:val="32"/>
          <w:szCs w:val="32"/>
          <w:lang w:eastAsia="zh-CN"/>
        </w:rPr>
        <w:t>各单位（处室）</w:t>
      </w:r>
      <w:r>
        <w:rPr>
          <w:rFonts w:hint="eastAsia" w:ascii="仿宋" w:hAnsi="仿宋" w:eastAsia="仿宋" w:cs="仿宋_GB2312"/>
          <w:sz w:val="32"/>
          <w:szCs w:val="32"/>
        </w:rPr>
        <w:t>没有拟购置固定资产</w:t>
      </w:r>
      <w:r>
        <w:rPr>
          <w:rFonts w:hint="eastAsia" w:ascii="仿宋" w:hAnsi="仿宋" w:eastAsia="仿宋" w:cs="仿宋_GB2312"/>
          <w:sz w:val="32"/>
          <w:szCs w:val="32"/>
          <w:lang w:eastAsia="zh-CN"/>
        </w:rPr>
        <w:t>。</w:t>
      </w:r>
      <w:r>
        <w:rPr>
          <w:rFonts w:hint="eastAsia" w:ascii="仿宋" w:hAnsi="仿宋" w:eastAsia="仿宋" w:cs="Times New Roman"/>
          <w:sz w:val="32"/>
          <w:szCs w:val="32"/>
        </w:rPr>
        <w:t>详见下表。</w:t>
      </w:r>
    </w:p>
    <w:p>
      <w:pPr>
        <w:ind w:firstLine="640"/>
        <w:rPr>
          <w:rFonts w:ascii="仿宋" w:hAnsi="仿宋" w:eastAsia="仿宋"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编制部门：香河县</w:t>
            </w:r>
            <w:r>
              <w:rPr>
                <w:rFonts w:hint="eastAsia" w:ascii="宋体" w:hAnsi="宋体" w:eastAsia="宋体" w:cs="宋体"/>
                <w:kern w:val="0"/>
                <w:sz w:val="22"/>
                <w:lang w:eastAsia="zh-CN"/>
              </w:rPr>
              <w:t>食品药品监督管理局</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eastAsia="宋体" w:cs="宋体"/>
                <w:kern w:val="0"/>
                <w:sz w:val="22"/>
                <w:lang w:val="en-US" w:eastAsia="zh-CN"/>
              </w:rPr>
              <w:t>8</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389.49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872.87</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145.33</w:t>
            </w:r>
            <w:bookmarkStart w:id="3" w:name="_GoBack"/>
            <w:bookmarkEnd w:id="3"/>
          </w:p>
        </w:tc>
      </w:tr>
      <w:tr>
        <w:tblPrEx>
          <w:tblLayout w:type="fixed"/>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872.87</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145.33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79.09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165.07</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pStyle w:val="14"/>
        <w:ind w:firstLine="630" w:firstLineChars="196"/>
        <w:rPr>
          <w:rFonts w:ascii="仿宋_GB2312" w:eastAsia="仿宋_GB2312"/>
          <w:b/>
          <w:bCs/>
          <w:sz w:val="32"/>
          <w:szCs w:val="32"/>
        </w:rPr>
      </w:pPr>
      <w:r>
        <w:rPr>
          <w:rFonts w:hint="eastAsia"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4"/>
        <w:rPr>
          <w:rFonts w:ascii="仿宋_GB2312" w:hAnsi="FZFangSong-Z02" w:eastAsia="仿宋_GB2312" w:cs="FZFangSong-Z02"/>
          <w:sz w:val="32"/>
          <w:szCs w:val="32"/>
        </w:rPr>
      </w:pPr>
      <w:r>
        <w:rPr>
          <w:rFonts w:hint="eastAsia"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4"/>
        <w:rPr>
          <w:rFonts w:ascii="仿宋_GB2312" w:hAnsi="FZFangSong-Z02" w:eastAsia="仿宋_GB2312" w:cs="FZFangSong-Z0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4"/>
        <w:rPr>
          <w:rFonts w:ascii="仿宋_GB2312" w:hAnsi="FZFangSong-Z02" w:eastAsia="仿宋_GB2312" w:cs="FZFangSong-Z02"/>
          <w:sz w:val="32"/>
          <w:szCs w:val="32"/>
        </w:rPr>
      </w:pPr>
      <w:r>
        <w:rPr>
          <w:rFonts w:hint="eastAsia"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4"/>
        <w:rPr>
          <w:rFonts w:ascii="仿宋_GB2312" w:eastAsia="仿宋_GB2312"/>
          <w:sz w:val="32"/>
          <w:szCs w:val="32"/>
        </w:rPr>
      </w:pPr>
      <w:r>
        <w:rPr>
          <w:rFonts w:hint="eastAsia"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4"/>
        <w:rPr>
          <w:rFonts w:ascii="仿宋_GB2312" w:hAnsi="FZFangSong-Z02" w:eastAsia="仿宋_GB2312" w:cs="FZFangSong-Z02"/>
          <w:sz w:val="32"/>
          <w:szCs w:val="32"/>
        </w:rPr>
      </w:pPr>
      <w:r>
        <w:rPr>
          <w:rFonts w:hint="eastAsia"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sz w:val="32"/>
          <w:szCs w:val="32"/>
        </w:rPr>
      </w:pPr>
      <w:r>
        <w:rPr>
          <w:rFonts w:hint="eastAsia"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altName w:val="黑体"/>
    <w:panose1 w:val="02010609060101010101"/>
    <w:charset w:val="86"/>
    <w:family w:val="modern"/>
    <w:pitch w:val="default"/>
    <w:sig w:usb0="00000000" w:usb1="00000000"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hint="eastAsia"/>
        </w:rPr>
      </w:pPr>
      <w:r>
        <w:rPr>
          <w:rStyle w:val="11"/>
        </w:rPr>
        <w:sym w:font="Symbol" w:char="F020"/>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251F1"/>
    <w:rsid w:val="00037AF6"/>
    <w:rsid w:val="00045A61"/>
    <w:rsid w:val="00052587"/>
    <w:rsid w:val="00062DD6"/>
    <w:rsid w:val="000650DE"/>
    <w:rsid w:val="000751CD"/>
    <w:rsid w:val="00075D5F"/>
    <w:rsid w:val="00093D80"/>
    <w:rsid w:val="000A63E7"/>
    <w:rsid w:val="000B04B5"/>
    <w:rsid w:val="000C3A19"/>
    <w:rsid w:val="001245BB"/>
    <w:rsid w:val="00125FBB"/>
    <w:rsid w:val="0018479D"/>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A094E"/>
    <w:rsid w:val="003E1A7F"/>
    <w:rsid w:val="003E23A5"/>
    <w:rsid w:val="003F49E7"/>
    <w:rsid w:val="00415CB8"/>
    <w:rsid w:val="00450F8F"/>
    <w:rsid w:val="00451871"/>
    <w:rsid w:val="00472923"/>
    <w:rsid w:val="00497870"/>
    <w:rsid w:val="004B37C2"/>
    <w:rsid w:val="004E3066"/>
    <w:rsid w:val="004E74CD"/>
    <w:rsid w:val="004F6123"/>
    <w:rsid w:val="00520CEC"/>
    <w:rsid w:val="0056326C"/>
    <w:rsid w:val="005632E5"/>
    <w:rsid w:val="00572603"/>
    <w:rsid w:val="00573562"/>
    <w:rsid w:val="00595C93"/>
    <w:rsid w:val="005C1AEB"/>
    <w:rsid w:val="005C248A"/>
    <w:rsid w:val="005D68FF"/>
    <w:rsid w:val="006009A1"/>
    <w:rsid w:val="00614A29"/>
    <w:rsid w:val="00646686"/>
    <w:rsid w:val="0069476A"/>
    <w:rsid w:val="006D6C8A"/>
    <w:rsid w:val="006E5AA3"/>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B3CC5"/>
    <w:rsid w:val="008C2BAF"/>
    <w:rsid w:val="008E4261"/>
    <w:rsid w:val="008F4662"/>
    <w:rsid w:val="00905D08"/>
    <w:rsid w:val="0091236C"/>
    <w:rsid w:val="00925753"/>
    <w:rsid w:val="00927B0B"/>
    <w:rsid w:val="009668BA"/>
    <w:rsid w:val="00966C5C"/>
    <w:rsid w:val="00967BB9"/>
    <w:rsid w:val="00973104"/>
    <w:rsid w:val="009A2998"/>
    <w:rsid w:val="009C119B"/>
    <w:rsid w:val="00A11219"/>
    <w:rsid w:val="00A34D76"/>
    <w:rsid w:val="00A662E9"/>
    <w:rsid w:val="00A72D2E"/>
    <w:rsid w:val="00A911E7"/>
    <w:rsid w:val="00A939D9"/>
    <w:rsid w:val="00AA71ED"/>
    <w:rsid w:val="00AB73CD"/>
    <w:rsid w:val="00AF6B63"/>
    <w:rsid w:val="00B043C4"/>
    <w:rsid w:val="00B20712"/>
    <w:rsid w:val="00B43238"/>
    <w:rsid w:val="00B75216"/>
    <w:rsid w:val="00B91D52"/>
    <w:rsid w:val="00BA1ACD"/>
    <w:rsid w:val="00BA408B"/>
    <w:rsid w:val="00BA6C50"/>
    <w:rsid w:val="00C20230"/>
    <w:rsid w:val="00C21BCB"/>
    <w:rsid w:val="00C24BF5"/>
    <w:rsid w:val="00C36F7C"/>
    <w:rsid w:val="00C720E3"/>
    <w:rsid w:val="00C8569A"/>
    <w:rsid w:val="00CA7176"/>
    <w:rsid w:val="00CD2773"/>
    <w:rsid w:val="00CD326E"/>
    <w:rsid w:val="00CE143B"/>
    <w:rsid w:val="00CE403B"/>
    <w:rsid w:val="00CE5192"/>
    <w:rsid w:val="00CF2D57"/>
    <w:rsid w:val="00D361CD"/>
    <w:rsid w:val="00D80DB8"/>
    <w:rsid w:val="00DA2FDB"/>
    <w:rsid w:val="00DD2E66"/>
    <w:rsid w:val="00E167C7"/>
    <w:rsid w:val="00E84FEB"/>
    <w:rsid w:val="00EC47F6"/>
    <w:rsid w:val="00EE1B43"/>
    <w:rsid w:val="00F153EF"/>
    <w:rsid w:val="00F50E15"/>
    <w:rsid w:val="00F61055"/>
    <w:rsid w:val="00F66032"/>
    <w:rsid w:val="00F71E48"/>
    <w:rsid w:val="00F958C2"/>
    <w:rsid w:val="00FB4CD3"/>
    <w:rsid w:val="00FC6357"/>
    <w:rsid w:val="00FD2081"/>
    <w:rsid w:val="00FE3D85"/>
    <w:rsid w:val="011F4B26"/>
    <w:rsid w:val="050B1CC0"/>
    <w:rsid w:val="099B5953"/>
    <w:rsid w:val="0C4B75CC"/>
    <w:rsid w:val="0C4F7727"/>
    <w:rsid w:val="0DA4799C"/>
    <w:rsid w:val="0DFF37EF"/>
    <w:rsid w:val="11E560D3"/>
    <w:rsid w:val="1654797C"/>
    <w:rsid w:val="1B37714C"/>
    <w:rsid w:val="1F121FDA"/>
    <w:rsid w:val="1F1F4109"/>
    <w:rsid w:val="209B40F6"/>
    <w:rsid w:val="2155594D"/>
    <w:rsid w:val="216D2F89"/>
    <w:rsid w:val="22CC6AFB"/>
    <w:rsid w:val="24E7293A"/>
    <w:rsid w:val="26E43B05"/>
    <w:rsid w:val="2C5A1F49"/>
    <w:rsid w:val="2CC83BC0"/>
    <w:rsid w:val="2D720A20"/>
    <w:rsid w:val="2EAD38EC"/>
    <w:rsid w:val="2F544DF0"/>
    <w:rsid w:val="31037891"/>
    <w:rsid w:val="31BD27BE"/>
    <w:rsid w:val="32E12449"/>
    <w:rsid w:val="33094CE0"/>
    <w:rsid w:val="35BA49F3"/>
    <w:rsid w:val="35E12497"/>
    <w:rsid w:val="38652CC8"/>
    <w:rsid w:val="38B16EE9"/>
    <w:rsid w:val="3A115811"/>
    <w:rsid w:val="3B6E12DD"/>
    <w:rsid w:val="406D2B80"/>
    <w:rsid w:val="41526051"/>
    <w:rsid w:val="47653561"/>
    <w:rsid w:val="48CB154D"/>
    <w:rsid w:val="4B197BCE"/>
    <w:rsid w:val="4C6D6BF4"/>
    <w:rsid w:val="4CBC79EE"/>
    <w:rsid w:val="506935D0"/>
    <w:rsid w:val="514D37AB"/>
    <w:rsid w:val="5161683D"/>
    <w:rsid w:val="51DA36F7"/>
    <w:rsid w:val="527C0B56"/>
    <w:rsid w:val="52BB2AF7"/>
    <w:rsid w:val="5D6F43F3"/>
    <w:rsid w:val="614E189B"/>
    <w:rsid w:val="619B438A"/>
    <w:rsid w:val="62AA757C"/>
    <w:rsid w:val="69D9457A"/>
    <w:rsid w:val="6D110E6C"/>
    <w:rsid w:val="6DE41BCD"/>
    <w:rsid w:val="72FD54CB"/>
    <w:rsid w:val="737473E9"/>
    <w:rsid w:val="79E83AAC"/>
    <w:rsid w:val="7B345891"/>
    <w:rsid w:val="7B9F5194"/>
    <w:rsid w:val="7E641DC9"/>
    <w:rsid w:val="7EF9288C"/>
    <w:rsid w:val="7F0939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footer"/>
    <w:basedOn w:val="1"/>
    <w:link w:val="13"/>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footnote text"/>
    <w:basedOn w:val="1"/>
    <w:semiHidden/>
    <w:uiPriority w:val="0"/>
    <w:pPr>
      <w:snapToGrid w:val="0"/>
      <w:jc w:val="left"/>
    </w:pPr>
    <w:rPr>
      <w:sz w:val="18"/>
      <w:szCs w:val="18"/>
    </w:rPr>
  </w:style>
  <w:style w:type="paragraph" w:styleId="7">
    <w:name w:val="toc 2"/>
    <w:basedOn w:val="1"/>
    <w:next w:val="1"/>
    <w:qFormat/>
    <w:uiPriority w:val="0"/>
    <w:pPr>
      <w:ind w:left="420" w:leftChars="200"/>
    </w:pPr>
    <w:rPr>
      <w:rFonts w:ascii="Times New Roman" w:hAnsi="Times New Roman" w:eastAsia="宋体" w:cs="Times New Roman"/>
      <w:szCs w:val="24"/>
    </w:rPr>
  </w:style>
  <w:style w:type="character" w:styleId="10">
    <w:name w:val="page number"/>
    <w:basedOn w:val="9"/>
    <w:uiPriority w:val="0"/>
  </w:style>
  <w:style w:type="character" w:styleId="11">
    <w:name w:val="footnote reference"/>
    <w:basedOn w:val="9"/>
    <w:semiHidden/>
    <w:uiPriority w:val="0"/>
    <w:rPr>
      <w:vertAlign w:val="superscript"/>
    </w:rPr>
  </w:style>
  <w:style w:type="character" w:customStyle="1" w:styleId="12">
    <w:name w:val="页眉 Char"/>
    <w:basedOn w:val="9"/>
    <w:link w:val="4"/>
    <w:qFormat/>
    <w:uiPriority w:val="0"/>
    <w:rPr>
      <w:rFonts w:ascii="Times New Roman" w:hAnsi="Times New Roman" w:eastAsia="宋体" w:cs="Times New Roman"/>
      <w:sz w:val="18"/>
      <w:szCs w:val="18"/>
    </w:rPr>
  </w:style>
  <w:style w:type="character" w:customStyle="1" w:styleId="13">
    <w:name w:val="页脚 Char"/>
    <w:basedOn w:val="9"/>
    <w:link w:val="3"/>
    <w:qFormat/>
    <w:uiPriority w:val="0"/>
    <w:rPr>
      <w:rFonts w:ascii="Times New Roman" w:hAnsi="Times New Roman" w:eastAsia="宋体" w:cs="Times New Roman"/>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D847B-333C-49AF-9F24-2CAA01C90906}">
  <ds:schemaRefs/>
</ds:datastoreItem>
</file>

<file path=docProps/app.xml><?xml version="1.0" encoding="utf-8"?>
<Properties xmlns="http://schemas.openxmlformats.org/officeDocument/2006/extended-properties" xmlns:vt="http://schemas.openxmlformats.org/officeDocument/2006/docPropsVTypes">
  <Template>Normal</Template>
  <Pages>8</Pages>
  <Words>410</Words>
  <Characters>2340</Characters>
  <Lines>19</Lines>
  <Paragraphs>5</Paragraphs>
  <TotalTime>10</TotalTime>
  <ScaleCrop>false</ScaleCrop>
  <LinksUpToDate>false</LinksUpToDate>
  <CharactersWithSpaces>2745</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dcterms:modified xsi:type="dcterms:W3CDTF">2019-03-15T02:05:02Z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